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354EE2" w:rsidTr="00354EE2">
        <w:trPr>
          <w:trHeight w:val="1407"/>
          <w:jc w:val="right"/>
        </w:trPr>
        <w:tc>
          <w:tcPr>
            <w:tcW w:w="3509" w:type="dxa"/>
          </w:tcPr>
          <w:p w:rsidR="00354EE2" w:rsidRPr="009B5891" w:rsidRDefault="00567F0A" w:rsidP="00354EE2">
            <w:pPr>
              <w:pBdr>
                <w:bottom w:val="single" w:sz="6" w:space="27" w:color="CCCCCC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5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354EE2" w:rsidRPr="009B5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риложение к приказу МКУ «Центр по</w:t>
            </w:r>
            <w:r w:rsidR="00C02107" w:rsidRPr="009B5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54EE2" w:rsidRPr="009B5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обеспечению деятельности Администрации</w:t>
            </w:r>
          </w:p>
          <w:p w:rsidR="00354EE2" w:rsidRPr="00672E66" w:rsidRDefault="00354EE2" w:rsidP="001F7AD7">
            <w:pPr>
              <w:pBdr>
                <w:bottom w:val="single" w:sz="6" w:space="27" w:color="CCCCCC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5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района и органов Администрации муниципального района» от 30.12.2021 №</w:t>
            </w:r>
            <w:r w:rsidR="00672E66" w:rsidRPr="00672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</w:p>
        </w:tc>
      </w:tr>
    </w:tbl>
    <w:p w:rsidR="001F7AD7" w:rsidRDefault="001F7AD7" w:rsidP="00273DD4">
      <w:pPr>
        <w:pBdr>
          <w:bottom w:val="single" w:sz="6" w:space="27" w:color="CCCCCC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2A2A" w:rsidRDefault="00302A2A" w:rsidP="00273DD4">
      <w:pPr>
        <w:pBdr>
          <w:bottom w:val="single" w:sz="6" w:space="27" w:color="CCCCCC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3DD4" w:rsidRPr="00273DD4" w:rsidRDefault="00273DD4" w:rsidP="00273DD4">
      <w:pPr>
        <w:pBdr>
          <w:bottom w:val="single" w:sz="6" w:space="27" w:color="CCCCCC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3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507087" w:rsidRPr="00273DD4" w:rsidRDefault="00567F0A" w:rsidP="00273DD4">
      <w:pPr>
        <w:pBdr>
          <w:bottom w:val="single" w:sz="6" w:space="27" w:color="CCCCCC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273DD4" w:rsidRPr="00273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</w:t>
      </w:r>
      <w:r w:rsidR="00507087" w:rsidRPr="00273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дин</w:t>
      </w:r>
      <w:r w:rsidR="00273DD4" w:rsidRPr="00273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507087" w:rsidRPr="00273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учетн</w:t>
      </w:r>
      <w:r w:rsidR="00273DD4" w:rsidRPr="00273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ой </w:t>
      </w:r>
      <w:r w:rsidR="00507087" w:rsidRPr="00273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политик</w:t>
      </w:r>
      <w:r w:rsidR="00273DD4" w:rsidRPr="00273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</w:p>
    <w:p w:rsidR="00471CE2" w:rsidRDefault="00273DD4" w:rsidP="00273DD4">
      <w:pPr>
        <w:pBdr>
          <w:bottom w:val="single" w:sz="6" w:space="27" w:color="CCCCCC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3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МКУ «Центр по обеспечению деятельности</w:t>
      </w:r>
      <w:r w:rsidR="00471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73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муниципального района и органов Администрации</w:t>
      </w:r>
    </w:p>
    <w:p w:rsidR="00507087" w:rsidRDefault="00273DD4" w:rsidP="00273DD4">
      <w:pPr>
        <w:pBdr>
          <w:bottom w:val="single" w:sz="6" w:space="27" w:color="CCCCCC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3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района»</w:t>
      </w:r>
    </w:p>
    <w:p w:rsidR="00302A2A" w:rsidRDefault="00302A2A" w:rsidP="00273DD4">
      <w:pPr>
        <w:pBdr>
          <w:bottom w:val="single" w:sz="6" w:space="27" w:color="CCCCCC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5662" w:rsidRPr="0072195C" w:rsidRDefault="009231AE" w:rsidP="00532172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95C">
        <w:rPr>
          <w:rFonts w:ascii="Times New Roman" w:hAnsi="Times New Roman" w:cs="Times New Roman"/>
          <w:b/>
          <w:sz w:val="32"/>
          <w:szCs w:val="32"/>
        </w:rPr>
        <w:t xml:space="preserve">1. </w:t>
      </w:r>
      <w:r w:rsidR="00285662" w:rsidRPr="0072195C">
        <w:rPr>
          <w:rFonts w:ascii="Times New Roman" w:hAnsi="Times New Roman" w:cs="Times New Roman"/>
          <w:b/>
          <w:sz w:val="32"/>
          <w:szCs w:val="32"/>
        </w:rPr>
        <w:t>Общие положения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8F7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07087" w:rsidRPr="00273DD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учетная политика разработана для централизации бухгалтерского (бюджетного) учета </w:t>
      </w:r>
      <w:r w:rsidR="00273DD4" w:rsidRPr="00273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казенных </w:t>
      </w:r>
      <w:r w:rsidR="00507087" w:rsidRPr="00273D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Учреждения)</w:t>
      </w:r>
      <w:r w:rsidR="00507087" w:rsidRPr="00273DD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передавших по </w:t>
      </w:r>
      <w:r w:rsidR="00273DD4" w:rsidRPr="00273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договорам  </w:t>
      </w:r>
      <w:r w:rsidR="00507087" w:rsidRPr="00273D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 </w:t>
      </w:r>
      <w:r w:rsidR="00354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354EE2" w:rsidRPr="00273DD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ведению бу</w:t>
      </w:r>
      <w:r w:rsidR="00354EE2">
        <w:rPr>
          <w:rFonts w:ascii="Times New Roman" w:eastAsia="Times New Roman" w:hAnsi="Times New Roman" w:cs="Times New Roman"/>
          <w:sz w:val="28"/>
          <w:szCs w:val="28"/>
          <w:lang w:eastAsia="ru-RU"/>
        </w:rPr>
        <w:t>хгалтерского (бюджетного) учета и ф</w:t>
      </w:r>
      <w:r w:rsidR="00354EE2" w:rsidRPr="00273D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ормированию</w:t>
      </w:r>
      <w:r w:rsidR="00354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EE2" w:rsidRPr="00273DD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бухгалтерской (</w:t>
      </w:r>
      <w:r w:rsidR="007D15C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</w:t>
      </w:r>
      <w:r w:rsidR="00354EE2" w:rsidRPr="00273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отчетности </w:t>
      </w:r>
      <w:r w:rsidR="00273DD4" w:rsidRPr="00273D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 казенному учреждению «Центр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МКУ «ЦОД»)</w:t>
      </w:r>
      <w:r w:rsidR="00273DD4" w:rsidRPr="00273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применяется, исходя из требований следующих нормативных документов:</w:t>
      </w:r>
      <w:proofErr w:type="gramEnd"/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-  Гражданского кодекса Российской Федерации;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-  Налогового кодекса Российской Федерации;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-  Бюджетного кодекса Российской Федерации;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-  Трудового кодекса Российской Федерации;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Федерального закона от 06.12.2011 № 402-ФЗ «О бухгалтерском учете»;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приказов Министерства финансов Российской Федерации: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академий наук, государственных (муници</w:t>
      </w:r>
      <w:r w:rsidR="00AA1B4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пальных) учреждений и Инструкции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его применению»</w:t>
      </w:r>
      <w:r w:rsidR="00354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</w:t>
      </w:r>
      <w:r w:rsidR="00AA1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1A1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A1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1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r w:rsid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77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157н)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06.12.2010 № 162н «Об утверждении Плана счетов бюджетного учета и инструкцией по его применению»</w:t>
      </w:r>
      <w:r w:rsid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AA1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1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1A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A77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="00A77E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28.12.2010 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C52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Инструкция № 191н)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="00D1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Приказ № 52н)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13.06.1995 № 49 «Об утверждении методических указаний по инвентаризации имущества и финансовых обязательств»;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31.12.2016 № 256н «Об утверждении федерального стандарта бухгалтерского учета для организаций государственного сектора «Концептуальные основы  бухгалтерского учета и отчетности организаций государственного сектора»;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31.12.2016 № 257н «Об утверждении федерального стандарта бухгалтерского учета для организаций государственного сектора «Основные средства»;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31.12.2016 №</w:t>
      </w:r>
      <w:r w:rsidR="007D1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258н «Об утверждении федерального стандарта бухгалтерского учета для организаций государственного сектора «Аренда»;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31.12.2016 № 259н «Об утверждении федерального стандарта бухгалтерского учета для организаций государственного сектора «Обесценение активов» (</w:t>
      </w:r>
      <w:r w:rsidR="004E2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-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СГС «Обесценение активов</w:t>
      </w:r>
      <w:r w:rsidR="00BF2B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31.12.2016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 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30.12.2017 № 275н «Об утверждении федерального стандарта бухгалтерского учета для организаций государственного сектора «События после отчетной даты»</w:t>
      </w:r>
      <w:r w:rsidR="004E2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СГС «</w:t>
      </w:r>
      <w:r w:rsidR="004E2FA9"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События после отчетной даты»</w:t>
      </w:r>
      <w:r w:rsidR="004E2F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30.12.2017 № 274н 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ошибки»; 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30.12.2017 № 278н  «Об утверждении федерального стандарта бухгалтерского учета для организаций государственного сектора «Отчет о движении денежных средств»; 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07.12.2018 № 256н «Об утверждении федерального стандарта бухгалтерского учета для организаций государственного сектора «Запасы»;  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30.05.2018 № 124н «Об утверждении федерального стандарта бухгалтерского учета для организаций государственного сектора «Резервы. Раскрытие информации об условных обязательствах и условных активах»;  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15.11.2019 № 181н «Об утверждении федерального стандарта бухгалтерского учета государственных финансов "Нематериальные активы»      (</w:t>
      </w:r>
      <w:r w:rsidR="00BF2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-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СГС «Нематериальные активы»); 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27.02.2018 №</w:t>
      </w:r>
      <w:r w:rsidR="00C52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32н  «Об утверждении федерального стандарта бухгалтерского учета для организаций государственного сектора «Доходы»;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28.02.2018 №</w:t>
      </w:r>
      <w:r w:rsidR="00C52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34н  «Об утверждении федерального стандарта бухгалтерского учета для организаций государственного сектора «Непроизведенные активы»;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29.06.2018 №</w:t>
      </w:r>
      <w:r w:rsidR="00C52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145н  «Об утверждении федерального стандарта бухгалтерского учета для организаций государственного сектора «Долгосрочные договоры»;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15.11.2019 №</w:t>
      </w:r>
      <w:r w:rsidR="00C52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184н «Об утверждении федерального стандарта бухгалтерского учета государственных финансов «Выплаты персоналу»;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приказов Министерства финансов Российской Федерации, регламентирующих порядок применения бюджетной классификации Российской Федерации;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-  указани</w:t>
      </w:r>
      <w:r w:rsidR="00567F0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Банка России от 11.03.2014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предпринимательства»;</w:t>
      </w:r>
    </w:p>
    <w:p w:rsidR="00A8549E" w:rsidRP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иных документов, регулирующих вопросы учета.</w:t>
      </w:r>
    </w:p>
    <w:p w:rsidR="00A8549E" w:rsidRDefault="00A8549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соответствии с Федеральным законом от 06.12.2011 № 402-ФЗ                      «О бухгалтерском учете» ведение бухгалтерского учета и хранение документов бухгалтерского учета организуется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директором МКУ «ЦОД»</w:t>
      </w:r>
      <w:r w:rsidR="0080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EC0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5131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2475B" w:rsidRPr="0082475B">
        <w:t xml:space="preserve"> </w:t>
      </w:r>
      <w:r w:rsidR="0082475B" w:rsidRPr="008247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правилами организации государственного архивного дела в Российской Федерации</w:t>
      </w:r>
      <w:r w:rsidR="00321B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B01" w:rsidRDefault="00321B01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076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D15C9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Ведение бухгалтерского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представление бухгалтерской </w:t>
      </w:r>
      <w:r w:rsidR="007D1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(бюджетной)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которых приведен в </w:t>
      </w:r>
      <w:r w:rsidRPr="007D15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учетной политики осуществляет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«ЦОД».</w:t>
      </w:r>
    </w:p>
    <w:p w:rsidR="00A8549E" w:rsidRDefault="00A8549E" w:rsidP="00861B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95E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5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«ЦОД»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налоговый учет и составляет налоговую отчетность</w:t>
      </w:r>
      <w:r w:rsidR="0065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объеме и по формам, установленным Федеральной налоговой службой России, в случаях, когда в соответствии с Налоговым кодексом Российской Федерации на </w:t>
      </w:r>
      <w:r w:rsidR="007D15C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Pr="00A8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0B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возложены обязанности налогоплательщика или налогового агента.</w:t>
      </w:r>
    </w:p>
    <w:p w:rsidR="00E95E11" w:rsidRPr="00E95E11" w:rsidRDefault="00861BA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95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МКУ «ЦОД» </w:t>
      </w:r>
      <w:r w:rsidR="00E95E11" w:rsidRPr="00861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публикует основные положения единой учетной политики на официальном сайте </w:t>
      </w:r>
      <w:r w:rsidR="00E95E11" w:rsidRPr="00F205B5">
        <w:rPr>
          <w:rFonts w:ascii="Times New Roman" w:hAnsi="Times New Roman"/>
          <w:bCs/>
          <w:sz w:val="28"/>
          <w:szCs w:val="28"/>
        </w:rPr>
        <w:t>органов местного самоуправления</w:t>
      </w:r>
      <w:r w:rsidR="00E95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Таймырского Долгано-Ненецкого муниципального района </w:t>
      </w:r>
      <w:r w:rsidR="00E95E11" w:rsidRPr="00861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</w:t>
      </w:r>
      <w:r w:rsidR="00E95E11" w:rsidRPr="00E95E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копий документов учетной политики.</w:t>
      </w:r>
    </w:p>
    <w:p w:rsidR="00E95E11" w:rsidRPr="00E95E11" w:rsidRDefault="00E95E11" w:rsidP="00E769BD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5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861BAE" w:rsidRPr="00E95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E11">
        <w:rPr>
          <w:rFonts w:ascii="Times New Roman" w:hAnsi="Times New Roman" w:cs="Times New Roman"/>
          <w:color w:val="000000"/>
          <w:sz w:val="28"/>
          <w:szCs w:val="28"/>
        </w:rPr>
        <w:t>Единая учетная политика при</w:t>
      </w:r>
      <w:r w:rsidR="007D15C9">
        <w:rPr>
          <w:rFonts w:ascii="Times New Roman" w:hAnsi="Times New Roman" w:cs="Times New Roman"/>
          <w:color w:val="000000"/>
          <w:sz w:val="28"/>
          <w:szCs w:val="28"/>
        </w:rPr>
        <w:t>меняется из года в год. Внесение</w:t>
      </w:r>
      <w:r w:rsidRPr="00E95E11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изменений в единую учетную политику производится в порядке, предусмотренном </w:t>
      </w:r>
      <w:r w:rsidR="00D4630F">
        <w:rPr>
          <w:rFonts w:ascii="Times New Roman" w:hAnsi="Times New Roman" w:cs="Times New Roman"/>
          <w:color w:val="000000"/>
          <w:sz w:val="28"/>
          <w:szCs w:val="28"/>
        </w:rPr>
        <w:t>пунктом 7</w:t>
      </w:r>
      <w:r w:rsidRPr="00E95E11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</w:t>
      </w:r>
      <w:r w:rsidR="00D4630F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E95E1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1BAE" w:rsidRPr="00A60B90" w:rsidRDefault="00861BA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B01" w:rsidRPr="00A8549E" w:rsidRDefault="00321B01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087" w:rsidRPr="0072195C" w:rsidRDefault="00CD0F36" w:rsidP="00532172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95C">
        <w:rPr>
          <w:rFonts w:ascii="Times New Roman" w:hAnsi="Times New Roman" w:cs="Times New Roman"/>
          <w:b/>
          <w:sz w:val="32"/>
          <w:szCs w:val="32"/>
        </w:rPr>
        <w:lastRenderedPageBreak/>
        <w:t xml:space="preserve">2. </w:t>
      </w:r>
      <w:r w:rsidR="00842E28" w:rsidRPr="0072195C">
        <w:rPr>
          <w:rFonts w:ascii="Times New Roman" w:hAnsi="Times New Roman" w:cs="Times New Roman"/>
          <w:b/>
          <w:sz w:val="32"/>
          <w:szCs w:val="32"/>
        </w:rPr>
        <w:t>Общие вопросы организации бухгалтерского учета</w:t>
      </w:r>
    </w:p>
    <w:p w:rsidR="00E826AA" w:rsidRPr="00E826AA" w:rsidRDefault="00842E28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26AA"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Бухгалтерский (бюджетный) учет </w:t>
      </w:r>
      <w:r w:rsidR="0082475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="00E826AA"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ведется автоматизированным способом с применением программных продуктов:</w:t>
      </w:r>
    </w:p>
    <w:p w:rsidR="00E826AA" w:rsidRPr="00E826AA" w:rsidRDefault="00E826AA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- «1</w:t>
      </w:r>
      <w:proofErr w:type="gramStart"/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Предприятие. Бухгалтерия государственного учреждения»;</w:t>
      </w:r>
    </w:p>
    <w:p w:rsidR="00E826AA" w:rsidRPr="00E826AA" w:rsidRDefault="00E826AA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- «Парус-Зарплата».</w:t>
      </w:r>
    </w:p>
    <w:p w:rsidR="00E826AA" w:rsidRPr="00E826AA" w:rsidRDefault="00E826AA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телекоммуникационных каналов связи при ведении бухгалтерского (бюджетного) и налогового уче</w:t>
      </w:r>
      <w:r w:rsidR="007D15C9">
        <w:rPr>
          <w:rFonts w:ascii="Times New Roman" w:eastAsia="Times New Roman" w:hAnsi="Times New Roman" w:cs="Times New Roman"/>
          <w:sz w:val="28"/>
          <w:szCs w:val="28"/>
          <w:lang w:eastAsia="ru-RU"/>
        </w:rPr>
        <w:t>та, составлении бухгалтерской (бюджетной</w:t>
      </w: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налоговой отчетности </w:t>
      </w:r>
      <w:r w:rsidR="0082475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информационный обмен с применением систем удаленного документооборота:</w:t>
      </w:r>
    </w:p>
    <w:p w:rsidR="00E826AA" w:rsidRPr="00E826AA" w:rsidRDefault="00E826AA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СУФД - для обмена документами с органами Федерального казначейства</w:t>
      </w:r>
      <w:r w:rsidR="007D1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26AA" w:rsidRPr="00E826AA" w:rsidRDefault="00E826AA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7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-Консолидация» - для обмена информацией с Финансовым управлением Администрации муниципального района (далее - </w:t>
      </w:r>
      <w:proofErr w:type="spellStart"/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</w:t>
      </w:r>
      <w:proofErr w:type="spellEnd"/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 подготовке и проверке бухгалтерской (финансовой) отчетности;</w:t>
      </w:r>
    </w:p>
    <w:p w:rsidR="00E826AA" w:rsidRPr="00E826AA" w:rsidRDefault="00E826AA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proofErr w:type="spellStart"/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Контур</w:t>
      </w:r>
      <w:proofErr w:type="gramStart"/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кстерн</w:t>
      </w:r>
      <w:proofErr w:type="spellEnd"/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для обмена информацией с налоговыми органами, поставщиками услуг.</w:t>
      </w:r>
    </w:p>
    <w:p w:rsidR="00E826AA" w:rsidRPr="00E826AA" w:rsidRDefault="00E826AA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076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Рабочий план счетов </w:t>
      </w:r>
      <w:r w:rsid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требования к структуре аналитического учета применяются непрерывно и </w:t>
      </w:r>
      <w:r w:rsidRPr="005E7D6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изменяются</w:t>
      </w: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условии обеспечения сопоставимости показателей бухгалтерского учета и отчетности за отчетный, теку</w:t>
      </w:r>
      <w:r w:rsidR="00733D80"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и очередной финансовый годы.</w:t>
      </w:r>
      <w:proofErr w:type="gramEnd"/>
    </w:p>
    <w:p w:rsidR="00A77EE8" w:rsidRDefault="00733D80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МКУ «ЦОД» </w:t>
      </w:r>
      <w:r w:rsidR="00E826AA"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2B9"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учет финансовых и нефинансовых активов, обязательств, а также операций, приводящих к их изменению, </w:t>
      </w:r>
      <w:r w:rsidR="0025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562B9"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</w:t>
      </w:r>
      <w:r w:rsidR="0025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</w:t>
      </w:r>
      <w:r w:rsidR="002562B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2562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счетов, разработанн</w:t>
      </w:r>
      <w:r w:rsidR="002562B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C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</w:t>
      </w:r>
      <w:r w:rsidR="00A77E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77EE8" w:rsidRDefault="00A77EE8" w:rsidP="00A77E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C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6AA"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</w:t>
      </w:r>
      <w:r w:rsidR="005C168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E826AA"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применению, утвержденны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826AA"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68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26AA"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риказом № 157н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1A14" w:rsidRDefault="00A77EE8" w:rsidP="00E71A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1A14">
        <w:rPr>
          <w:rFonts w:ascii="Times New Roman" w:hAnsi="Times New Roman" w:cs="Times New Roman"/>
          <w:sz w:val="28"/>
          <w:szCs w:val="28"/>
        </w:rPr>
        <w:t>Плана счетов бюджетного учета и Инструкции по его применению, утвержденных Приказом № 162н.</w:t>
      </w:r>
    </w:p>
    <w:p w:rsidR="00733D80" w:rsidRDefault="00733D80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</w:t>
      </w:r>
      <w:r w:rsidRPr="00733D8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чета Рабочего плана счетов имеет 26 разрядов. Разряды формируются с учетом следующих положений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645F" w:rsidRPr="0017645F" w:rsidRDefault="00733D80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45F"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1-го по 17-й разряд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7645F"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аналитический код </w:t>
      </w:r>
      <w:r w:rsidRPr="00733D8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доходов бюджетов, расходов бюджетов, источников финансирования дефицитов бюджетов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645F" w:rsidRPr="0017645F" w:rsidRDefault="0017645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18-м разряде </w:t>
      </w:r>
      <w:r w:rsidR="00733D8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аналитический </w:t>
      </w:r>
      <w:r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вида финансового обеспечения (деятельности);</w:t>
      </w:r>
    </w:p>
    <w:p w:rsidR="0017645F" w:rsidRPr="0017645F" w:rsidRDefault="0017645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с 19-го по 21-й разряд - синтетический код счета Единого плана счетов бухгалтерского учета</w:t>
      </w:r>
      <w:r w:rsidR="00733D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645F" w:rsidRPr="0017645F" w:rsidRDefault="0017645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с 22-го по 23-й разряд  аналитические коды группы счета;</w:t>
      </w:r>
    </w:p>
    <w:p w:rsidR="0017645F" w:rsidRPr="0017645F" w:rsidRDefault="0017645F" w:rsidP="0092781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24-го по 26-й разряд - код вида поступлений, выбытий объекта учет</w:t>
      </w:r>
      <w:r w:rsidR="003511F2">
        <w:rPr>
          <w:rFonts w:ascii="Times New Roman" w:eastAsia="Times New Roman" w:hAnsi="Times New Roman" w:cs="Times New Roman"/>
          <w:sz w:val="28"/>
          <w:szCs w:val="28"/>
          <w:lang w:eastAsia="ru-RU"/>
        </w:rPr>
        <w:t>а (</w:t>
      </w:r>
      <w:r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классификации  операций сектора государственного управления (КОСГУ)</w:t>
      </w:r>
      <w:r w:rsidR="003511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645F" w:rsidRPr="0017645F" w:rsidRDefault="0079609C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7645F"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18-м разряде номера счета рабочего плана счетов  отражаются коды вида финансового обеспечения (деятельности):</w:t>
      </w:r>
    </w:p>
    <w:p w:rsidR="0017645F" w:rsidRPr="0017645F" w:rsidRDefault="0017645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1 «Деятельность, осуществляемая за счет средств соответствующего бюджета бюджетной системы Российской Феде</w:t>
      </w:r>
      <w:r w:rsidR="00733D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(бюджетная деятельность)»</w:t>
      </w:r>
      <w:r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3D80" w:rsidRDefault="0017645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45F">
        <w:rPr>
          <w:rFonts w:ascii="Times New Roman" w:eastAsia="Times New Roman" w:hAnsi="Times New Roman" w:cs="Times New Roman"/>
          <w:sz w:val="28"/>
          <w:szCs w:val="28"/>
          <w:lang w:eastAsia="ru-RU"/>
        </w:rPr>
        <w:t>3 «Средс</w:t>
      </w:r>
      <w:r w:rsidR="00733D8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во временном распоряжении».</w:t>
      </w:r>
    </w:p>
    <w:p w:rsidR="0017645F" w:rsidRPr="0092781C" w:rsidRDefault="00733D80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7645F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бухгалтерском учете применяются следующие </w:t>
      </w:r>
      <w:proofErr w:type="spellStart"/>
      <w:r w:rsidR="0017645F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забалансовые</w:t>
      </w:r>
      <w:proofErr w:type="spellEnd"/>
      <w:r w:rsidR="0017645F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счета:</w:t>
      </w:r>
    </w:p>
    <w:p w:rsidR="008665F9" w:rsidRPr="0092781C" w:rsidRDefault="0017645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 «Имущ</w:t>
      </w:r>
      <w:r w:rsidR="001326EF"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ество, полученное в пользование</w:t>
      </w:r>
      <w:r w:rsidR="0079609C"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</w:t>
      </w:r>
      <w:proofErr w:type="gramStart"/>
      <w:r w:rsidR="0079609C"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который</w:t>
      </w:r>
      <w:proofErr w:type="gramEnd"/>
      <w:r w:rsidR="0079609C"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74DF3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 </w:t>
      </w:r>
      <w:proofErr w:type="spellStart"/>
      <w:r w:rsidR="00E74DF3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субсчет</w:t>
      </w:r>
      <w:r w:rsidR="008665F9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proofErr w:type="spellEnd"/>
      <w:r w:rsidR="008665F9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645F" w:rsidRPr="0092781C" w:rsidRDefault="008665F9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4DF3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01.11 </w:t>
      </w:r>
      <w:r w:rsidR="0079609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74DF3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Недвижимое имущество в пользовании</w:t>
      </w:r>
      <w:r w:rsidR="0079609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9609C"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160DC" w:rsidRPr="0092781C" w:rsidRDefault="003160DC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- 01.31 </w:t>
      </w:r>
      <w:r w:rsidR="0079609C"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Иное движимое имущество, полученное в пользование по договорам безвозмездного пользования</w:t>
      </w:r>
      <w:r w:rsidR="0079609C"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B256D9" w:rsidRPr="0092781C" w:rsidRDefault="008665F9" w:rsidP="0092781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- 01.32 </w:t>
      </w:r>
      <w:r w:rsidR="0079609C"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Иное движимое имущество в пользовании по договорам аренды</w:t>
      </w:r>
      <w:r w:rsidR="0079609C"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92781C"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9278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A3484" w:rsidRPr="0092781C" w:rsidRDefault="00AA3484" w:rsidP="00B256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81C">
        <w:rPr>
          <w:rFonts w:ascii="Times New Roman" w:hAnsi="Times New Roman" w:cs="Times New Roman"/>
          <w:sz w:val="28"/>
          <w:szCs w:val="28"/>
        </w:rPr>
        <w:t xml:space="preserve">Аналитический учет по </w:t>
      </w:r>
      <w:hyperlink r:id="rId9" w:history="1">
        <w:proofErr w:type="gramStart"/>
        <w:r w:rsidRPr="0092781C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</w:t>
        </w:r>
      </w:hyperlink>
      <w:r w:rsidR="00B256D9" w:rsidRPr="0092781C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proofErr w:type="gramEnd"/>
      <w:r w:rsidRPr="009278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2781C">
        <w:rPr>
          <w:rFonts w:ascii="Times New Roman" w:hAnsi="Times New Roman" w:cs="Times New Roman"/>
          <w:sz w:val="28"/>
          <w:szCs w:val="28"/>
        </w:rPr>
        <w:t>«01</w:t>
      </w:r>
      <w:r w:rsidR="00B256D9" w:rsidRPr="0092781C">
        <w:rPr>
          <w:rFonts w:ascii="Times New Roman" w:hAnsi="Times New Roman" w:cs="Times New Roman"/>
          <w:sz w:val="28"/>
          <w:szCs w:val="28"/>
        </w:rPr>
        <w:t>.хх</w:t>
      </w:r>
      <w:r w:rsidRPr="0092781C">
        <w:rPr>
          <w:rFonts w:ascii="Times New Roman" w:hAnsi="Times New Roman" w:cs="Times New Roman"/>
          <w:sz w:val="28"/>
          <w:szCs w:val="28"/>
        </w:rPr>
        <w:t>» ведется</w:t>
      </w:r>
      <w:r w:rsidR="00B256D9" w:rsidRPr="0092781C">
        <w:rPr>
          <w:rFonts w:ascii="Times New Roman" w:hAnsi="Times New Roman" w:cs="Times New Roman"/>
          <w:sz w:val="28"/>
          <w:szCs w:val="28"/>
        </w:rPr>
        <w:t xml:space="preserve"> в количественно-суммовом выражении</w:t>
      </w:r>
      <w:r w:rsidRPr="0092781C">
        <w:rPr>
          <w:rFonts w:ascii="Times New Roman" w:hAnsi="Times New Roman" w:cs="Times New Roman"/>
          <w:sz w:val="28"/>
          <w:szCs w:val="28"/>
        </w:rPr>
        <w:t xml:space="preserve"> в разрезе объектов имущества (имущественных прав), учетных (инвентарных, серийных, реестровых) номеров, местонахождений объектов (адресов), ответственных лиц, контрагентов (собственников, балансодержателей), правовых оснований, кодов классификации операций сектора государственного управления.</w:t>
      </w:r>
    </w:p>
    <w:p w:rsidR="003160DC" w:rsidRPr="0092781C" w:rsidRDefault="0017645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02 «Мат</w:t>
      </w:r>
      <w:r w:rsidR="00E972FB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ериальные ценности на хранение</w:t>
      </w:r>
      <w:r w:rsidR="0079609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gramStart"/>
      <w:r w:rsidR="0079609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="0079609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2FB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 </w:t>
      </w:r>
      <w:r w:rsidR="003160D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следующими </w:t>
      </w:r>
      <w:proofErr w:type="spellStart"/>
      <w:r w:rsidR="003160D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субсчетами</w:t>
      </w:r>
      <w:proofErr w:type="spellEnd"/>
      <w:r w:rsidR="003160D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6D4E" w:rsidRPr="0092781C" w:rsidRDefault="00F16D4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- 02.11 </w:t>
      </w:r>
      <w:r w:rsidR="0079609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средства – недвижимое имущество на хранении</w:t>
      </w:r>
      <w:r w:rsidR="0079609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7645F" w:rsidRPr="0092781C" w:rsidRDefault="003160DC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972FB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02.31 </w:t>
      </w:r>
      <w:r w:rsidR="0079609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972FB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Иное движимое имущество на хранении</w:t>
      </w:r>
      <w:r w:rsidR="0079609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16D4E" w:rsidRPr="0092781C" w:rsidRDefault="00F16D4E" w:rsidP="0092781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2781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09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02.32</w:t>
      </w:r>
      <w:r w:rsidR="00AC4629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09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Материальные запасы – иное движимое имущество на хранении</w:t>
      </w:r>
      <w:r w:rsidR="0092781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256D9" w:rsidRPr="0092781C" w:rsidRDefault="00B256D9" w:rsidP="00AC4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81C">
        <w:rPr>
          <w:rFonts w:ascii="Times New Roman" w:hAnsi="Times New Roman" w:cs="Times New Roman"/>
          <w:sz w:val="28"/>
          <w:szCs w:val="28"/>
        </w:rPr>
        <w:t>Аналитический учет по счетам «02.хх» ведется в количественно-суммовом выражении в разрезе объектов имущества, местонахождений объектов (адресов), ответственных лиц, контрагентов (собственников, владельцев, иных лиц), правовых оснований.</w:t>
      </w:r>
    </w:p>
    <w:p w:rsidR="003E653C" w:rsidRPr="0092781C" w:rsidRDefault="007A7AD7" w:rsidP="003E65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03 «Бланки строгой отчетности»</w:t>
      </w:r>
      <w:r w:rsidR="0079609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</w:t>
      </w:r>
      <w:r w:rsidR="004D54EB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дополнен </w:t>
      </w:r>
      <w:proofErr w:type="spellStart"/>
      <w:r w:rsidR="004D54EB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субсчетом</w:t>
      </w:r>
      <w:proofErr w:type="spellEnd"/>
      <w:r w:rsidR="004D54EB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03.1 «Бланки строгой отчетности (в </w:t>
      </w:r>
      <w:proofErr w:type="spellStart"/>
      <w:r w:rsidR="004D54EB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усл.ед</w:t>
      </w:r>
      <w:proofErr w:type="spellEnd"/>
      <w:r w:rsidR="004D54EB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.)»</w:t>
      </w:r>
      <w:r w:rsidR="0092781C"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653C" w:rsidRPr="0092781C" w:rsidRDefault="004A231B" w:rsidP="003E65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3E653C" w:rsidRPr="0092781C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</w:t>
        </w:r>
      </w:hyperlink>
      <w:r w:rsidR="003E653C" w:rsidRPr="0092781C">
        <w:rPr>
          <w:rFonts w:ascii="Times New Roman" w:hAnsi="Times New Roman" w:cs="Times New Roman"/>
          <w:sz w:val="28"/>
          <w:szCs w:val="28"/>
        </w:rPr>
        <w:t xml:space="preserve"> предназначен для учета бланков строгой отчетности (бланков трудовых книжек, вкладышей к ним);</w:t>
      </w:r>
    </w:p>
    <w:p w:rsidR="003E653C" w:rsidRPr="0092781C" w:rsidRDefault="0092781C" w:rsidP="0092781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81C">
        <w:rPr>
          <w:rFonts w:ascii="Times New Roman" w:hAnsi="Times New Roman" w:cs="Times New Roman"/>
          <w:sz w:val="28"/>
          <w:szCs w:val="28"/>
        </w:rPr>
        <w:t xml:space="preserve">       </w:t>
      </w:r>
      <w:r w:rsidR="003E653C" w:rsidRPr="0092781C">
        <w:rPr>
          <w:rFonts w:ascii="Times New Roman" w:hAnsi="Times New Roman" w:cs="Times New Roman"/>
          <w:sz w:val="28"/>
          <w:szCs w:val="28"/>
        </w:rPr>
        <w:t xml:space="preserve">Аналитический учет по </w:t>
      </w:r>
      <w:hyperlink r:id="rId11" w:history="1">
        <w:r w:rsidR="003E653C" w:rsidRPr="0092781C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счету</w:t>
        </w:r>
      </w:hyperlink>
      <w:r w:rsidR="003E653C" w:rsidRPr="009278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653C" w:rsidRPr="0092781C">
        <w:rPr>
          <w:rFonts w:ascii="Times New Roman" w:hAnsi="Times New Roman" w:cs="Times New Roman"/>
          <w:sz w:val="28"/>
          <w:szCs w:val="28"/>
        </w:rPr>
        <w:t>ведется</w:t>
      </w:r>
      <w:r w:rsidR="00F37432" w:rsidRPr="0092781C">
        <w:rPr>
          <w:rFonts w:ascii="Times New Roman" w:hAnsi="Times New Roman" w:cs="Times New Roman"/>
          <w:sz w:val="28"/>
          <w:szCs w:val="28"/>
        </w:rPr>
        <w:t xml:space="preserve"> условной оценке: один бланк, один рубль, </w:t>
      </w:r>
      <w:r w:rsidR="003E653C" w:rsidRPr="0092781C">
        <w:rPr>
          <w:rFonts w:ascii="Times New Roman" w:hAnsi="Times New Roman" w:cs="Times New Roman"/>
          <w:sz w:val="28"/>
          <w:szCs w:val="28"/>
        </w:rPr>
        <w:t>по каждому виду бланков строгой отчетности (по наименованию бланка, номеру, серии) в разрезе ответственных лиц и местонахождений (адресов, мест хранения).</w:t>
      </w:r>
    </w:p>
    <w:p w:rsidR="0017645F" w:rsidRPr="0092781C" w:rsidRDefault="0092781C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81C">
        <w:rPr>
          <w:rFonts w:ascii="Times New Roman" w:eastAsia="Times New Roman" w:hAnsi="Times New Roman" w:cs="Times New Roman"/>
          <w:sz w:val="28"/>
          <w:szCs w:val="28"/>
          <w:lang w:eastAsia="ru-RU"/>
        </w:rPr>
        <w:t>04 «Сомнительная задолженность»</w:t>
      </w:r>
    </w:p>
    <w:p w:rsidR="003E653C" w:rsidRPr="00901A8F" w:rsidRDefault="003E653C" w:rsidP="00F374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81C">
        <w:rPr>
          <w:rFonts w:ascii="Times New Roman" w:hAnsi="Times New Roman" w:cs="Times New Roman"/>
          <w:sz w:val="28"/>
          <w:szCs w:val="28"/>
        </w:rPr>
        <w:t xml:space="preserve">Аналитический учет по </w:t>
      </w:r>
      <w:hyperlink r:id="rId12" w:history="1">
        <w:r w:rsidRPr="0092781C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счету</w:t>
        </w:r>
      </w:hyperlink>
      <w:r w:rsidRPr="009278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2781C">
        <w:rPr>
          <w:rFonts w:ascii="Times New Roman" w:hAnsi="Times New Roman" w:cs="Times New Roman"/>
          <w:sz w:val="28"/>
          <w:szCs w:val="28"/>
        </w:rPr>
        <w:t xml:space="preserve">ведется в разрезе видов поступлений (выплат) (источников финансового обеспечения), контрагентов, кодов </w:t>
      </w:r>
      <w:r w:rsidRPr="00901A8F">
        <w:rPr>
          <w:rFonts w:ascii="Times New Roman" w:hAnsi="Times New Roman" w:cs="Times New Roman"/>
          <w:sz w:val="28"/>
          <w:szCs w:val="28"/>
        </w:rPr>
        <w:lastRenderedPageBreak/>
        <w:t>классификации доходов бюджетов, уникальных идентификаторов начислений (УИН), правовых оснований.</w:t>
      </w:r>
    </w:p>
    <w:p w:rsidR="0017645F" w:rsidRPr="00901A8F" w:rsidRDefault="0017645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07 «Награды, призы, кубки, и ценные подарки</w:t>
      </w:r>
      <w:r w:rsidR="00F64925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79609C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</w:t>
      </w:r>
      <w:r w:rsidR="00E972FB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 </w:t>
      </w:r>
      <w:proofErr w:type="spellStart"/>
      <w:r w:rsidR="00E972FB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субсчетом</w:t>
      </w:r>
      <w:proofErr w:type="spellEnd"/>
      <w:r w:rsidR="00E972FB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07.2 «Переходящие награды, призы, кубки, ценные подарки сувениры по стои</w:t>
      </w:r>
      <w:r w:rsidR="00901A8F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 приобретения».</w:t>
      </w:r>
    </w:p>
    <w:p w:rsidR="00F37432" w:rsidRPr="00901A8F" w:rsidRDefault="00F37432" w:rsidP="0099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A8F">
        <w:rPr>
          <w:rFonts w:ascii="Times New Roman" w:hAnsi="Times New Roman" w:cs="Times New Roman"/>
          <w:sz w:val="28"/>
          <w:szCs w:val="28"/>
        </w:rPr>
        <w:t xml:space="preserve">Аналитический учет по </w:t>
      </w:r>
      <w:hyperlink r:id="rId13" w:history="1">
        <w:r w:rsidRPr="00901A8F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счету</w:t>
        </w:r>
      </w:hyperlink>
      <w:r w:rsidRPr="00901A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1A8F">
        <w:rPr>
          <w:rFonts w:ascii="Times New Roman" w:hAnsi="Times New Roman" w:cs="Times New Roman"/>
          <w:sz w:val="28"/>
          <w:szCs w:val="28"/>
        </w:rPr>
        <w:t>ведется в количественно-суммовом выражении в разрезе объектов имущества, ответственных лиц, местонахождений объектов (адресов, мест хранения).</w:t>
      </w:r>
    </w:p>
    <w:p w:rsidR="00991259" w:rsidRPr="00901A8F" w:rsidRDefault="001326EF" w:rsidP="009912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 </w:t>
      </w:r>
      <w:r w:rsidR="0017645F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«Запасные части к транспортным средств</w:t>
      </w: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ам, выданные взамен </w:t>
      </w:r>
      <w:proofErr w:type="gramStart"/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изношенных</w:t>
      </w:r>
      <w:proofErr w:type="gramEnd"/>
      <w:r w:rsidR="00901A8F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91259" w:rsidRPr="00901A8F" w:rsidRDefault="00991259" w:rsidP="00991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1A8F">
        <w:rPr>
          <w:rFonts w:ascii="Times New Roman" w:hAnsi="Times New Roman" w:cs="Times New Roman"/>
          <w:sz w:val="28"/>
          <w:szCs w:val="28"/>
        </w:rPr>
        <w:t xml:space="preserve">Аналитический учет по </w:t>
      </w:r>
      <w:hyperlink r:id="rId14" w:history="1">
        <w:r w:rsidRPr="00901A8F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счету</w:t>
        </w:r>
      </w:hyperlink>
      <w:r w:rsidRPr="00901A8F">
        <w:rPr>
          <w:rFonts w:ascii="Times New Roman" w:hAnsi="Times New Roman" w:cs="Times New Roman"/>
          <w:sz w:val="28"/>
          <w:szCs w:val="28"/>
        </w:rPr>
        <w:t xml:space="preserve"> ведется в количественно-суммовом выражении в разрезе лиц, получивших материальные ценности, с указанием их должности, фамилии, имени, отчества, транспортных средств, по видам материальных ценностей (с указанием производственных номеров при их наличии).</w:t>
      </w:r>
    </w:p>
    <w:p w:rsidR="0017645F" w:rsidRPr="00901A8F" w:rsidRDefault="0017645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 «Поступления денежных средств»</w:t>
      </w:r>
      <w:r w:rsidR="007D4463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="007D4463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который</w:t>
      </w:r>
      <w:proofErr w:type="gramEnd"/>
      <w:r w:rsidR="00C53CD9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дополнен следующими </w:t>
      </w:r>
      <w:proofErr w:type="spellStart"/>
      <w:r w:rsidR="00C53CD9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субсчетами</w:t>
      </w:r>
      <w:proofErr w:type="spellEnd"/>
      <w:r w:rsidR="00C53CD9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C53CD9" w:rsidRPr="00901A8F" w:rsidRDefault="00C53CD9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 17.01</w:t>
      </w:r>
      <w:r w:rsidRPr="00901A8F">
        <w:rPr>
          <w:color w:val="000000" w:themeColor="text1"/>
        </w:rPr>
        <w:t xml:space="preserve"> </w:t>
      </w:r>
      <w:r w:rsidR="007D4463" w:rsidRPr="00901A8F">
        <w:rPr>
          <w:color w:val="000000" w:themeColor="text1"/>
        </w:rPr>
        <w:t>«</w:t>
      </w:r>
      <w:r w:rsidR="007D4463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Поступления денежных средств»;</w:t>
      </w:r>
    </w:p>
    <w:p w:rsidR="00C53CD9" w:rsidRPr="00901A8F" w:rsidRDefault="00C53CD9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 17.30</w:t>
      </w:r>
      <w:r w:rsidRPr="00901A8F">
        <w:rPr>
          <w:color w:val="000000" w:themeColor="text1"/>
        </w:rPr>
        <w:t xml:space="preserve"> </w:t>
      </w:r>
      <w:r w:rsidR="007D4463" w:rsidRPr="00901A8F">
        <w:rPr>
          <w:color w:val="000000" w:themeColor="text1"/>
        </w:rPr>
        <w:t>«</w:t>
      </w:r>
      <w:r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Поступления денежных средств на счет 40116</w:t>
      </w:r>
      <w:r w:rsidR="007D4463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C53CD9" w:rsidRPr="00901A8F" w:rsidRDefault="00C53CD9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 17.34</w:t>
      </w:r>
      <w:r w:rsidRPr="00901A8F">
        <w:rPr>
          <w:color w:val="000000" w:themeColor="text1"/>
        </w:rPr>
        <w:t xml:space="preserve"> </w:t>
      </w:r>
      <w:r w:rsidR="007D4463" w:rsidRPr="00901A8F">
        <w:rPr>
          <w:color w:val="000000" w:themeColor="text1"/>
        </w:rPr>
        <w:t>«</w:t>
      </w:r>
      <w:r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Поступления денежных сре</w:t>
      </w:r>
      <w:proofErr w:type="gramStart"/>
      <w:r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дств в к</w:t>
      </w:r>
      <w:proofErr w:type="gramEnd"/>
      <w:r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ассу учреждения</w:t>
      </w:r>
      <w:r w:rsidR="00901A8F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E04B58" w:rsidRPr="00901A8F" w:rsidRDefault="0017645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 «Выбытия денежных средств»</w:t>
      </w:r>
      <w:r w:rsidR="00F64925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="00F64925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который</w:t>
      </w:r>
      <w:proofErr w:type="gramEnd"/>
      <w:r w:rsidR="00F64925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4B58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дополнен следующими </w:t>
      </w:r>
      <w:proofErr w:type="spellStart"/>
      <w:r w:rsidR="00E04B58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субсчетами</w:t>
      </w:r>
      <w:proofErr w:type="spellEnd"/>
      <w:r w:rsidR="00E04B58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04B58" w:rsidRPr="00901A8F" w:rsidRDefault="00E04B58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18.01 </w:t>
      </w:r>
      <w:r w:rsidR="00F64925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Выбытия денежных средств</w:t>
      </w:r>
      <w:r w:rsidR="00F64925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04B58" w:rsidRPr="00901A8F" w:rsidRDefault="00E04B58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18.30 </w:t>
      </w:r>
      <w:r w:rsidR="00F64925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Выбытия денежных средств со счета 40116</w:t>
      </w:r>
      <w:r w:rsidR="00F64925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04B58" w:rsidRPr="00901A8F" w:rsidRDefault="00E04B58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18.34 </w:t>
      </w:r>
      <w:r w:rsidR="00F64925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Выбытия денежных средств из кассы учреждения</w:t>
      </w:r>
      <w:r w:rsidR="00F64925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7645F" w:rsidRPr="00901A8F" w:rsidRDefault="0017645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20 «</w:t>
      </w:r>
      <w:r w:rsidR="0054707D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Задолженность, не</w:t>
      </w:r>
      <w:r w:rsidR="00901A8F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востребованная кредиторами».</w:t>
      </w:r>
    </w:p>
    <w:p w:rsidR="00B317E8" w:rsidRPr="00901A8F" w:rsidRDefault="00B317E8" w:rsidP="00B317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A8F">
        <w:rPr>
          <w:rFonts w:ascii="Times New Roman" w:hAnsi="Times New Roman" w:cs="Times New Roman"/>
          <w:sz w:val="28"/>
          <w:szCs w:val="28"/>
        </w:rPr>
        <w:t xml:space="preserve">Аналитический учет по </w:t>
      </w:r>
      <w:hyperlink r:id="rId15" w:history="1">
        <w:r w:rsidRPr="00901A8F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счету</w:t>
        </w:r>
      </w:hyperlink>
      <w:r w:rsidRPr="00901A8F">
        <w:rPr>
          <w:rFonts w:ascii="Times New Roman" w:hAnsi="Times New Roman" w:cs="Times New Roman"/>
          <w:sz w:val="28"/>
          <w:szCs w:val="28"/>
        </w:rPr>
        <w:t xml:space="preserve"> ведется в разрезе кодов классификации доходов бюджетов, кодов классификации расходов бюджетов, кодов классификации источников финансирования дефицитов бюджетов, контрагентов (кредиторов), видов платежей (кодов финансового обеспечения).</w:t>
      </w:r>
    </w:p>
    <w:p w:rsidR="0017645F" w:rsidRPr="00901A8F" w:rsidRDefault="00F64925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="0017645F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«Основные средства в эксплуатации»</w:t>
      </w: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</w:t>
      </w:r>
      <w:r w:rsidR="00F70607" w:rsidRPr="00901A8F">
        <w:t xml:space="preserve"> </w:t>
      </w:r>
      <w:r w:rsidR="00F70607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 следующими </w:t>
      </w:r>
      <w:proofErr w:type="spellStart"/>
      <w:r w:rsidR="00F70607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субсчетами</w:t>
      </w:r>
      <w:proofErr w:type="spellEnd"/>
      <w:r w:rsidR="00F70607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70607" w:rsidRPr="00901A8F" w:rsidRDefault="00F7060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21.34  </w:t>
      </w:r>
      <w:r w:rsidR="00F64925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«М</w:t>
      </w: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ашины и оборудование</w:t>
      </w:r>
      <w:r w:rsidR="00F64925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70607" w:rsidRPr="00901A8F" w:rsidRDefault="00F64925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-  21.36  «И</w:t>
      </w:r>
      <w:r w:rsidR="00F70607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нвентарь производственный и хозяйственный</w:t>
      </w: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8645E" w:rsidRPr="00901A8F" w:rsidRDefault="00F70607" w:rsidP="00B86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21.38  </w:t>
      </w:r>
      <w:r w:rsidR="00F64925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8641A0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рочие основные средства</w:t>
      </w:r>
      <w:r w:rsidR="00901A8F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6694F" w:rsidRPr="00901A8F" w:rsidRDefault="0016694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A8F">
        <w:rPr>
          <w:rFonts w:ascii="Times New Roman" w:hAnsi="Times New Roman" w:cs="Times New Roman"/>
          <w:sz w:val="28"/>
          <w:szCs w:val="28"/>
        </w:rPr>
        <w:t xml:space="preserve">Аналитический учет по </w:t>
      </w:r>
      <w:hyperlink r:id="rId16" w:history="1">
        <w:proofErr w:type="gramStart"/>
        <w:r w:rsidRPr="00901A8F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</w:t>
        </w:r>
      </w:hyperlink>
      <w:r w:rsidRPr="00901A8F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proofErr w:type="gramEnd"/>
      <w:r w:rsidRPr="00901A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645E" w:rsidRPr="00901A8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01A8F">
        <w:rPr>
          <w:rFonts w:ascii="Times New Roman" w:hAnsi="Times New Roman" w:cs="Times New Roman"/>
          <w:color w:val="000000" w:themeColor="text1"/>
          <w:sz w:val="28"/>
          <w:szCs w:val="28"/>
        </w:rPr>
        <w:t>21.хх</w:t>
      </w:r>
      <w:r w:rsidR="00B8645E" w:rsidRPr="00901A8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01A8F">
        <w:rPr>
          <w:rFonts w:ascii="Times New Roman" w:hAnsi="Times New Roman" w:cs="Times New Roman"/>
          <w:sz w:val="28"/>
          <w:szCs w:val="28"/>
        </w:rPr>
        <w:t xml:space="preserve"> ведется в разрезе объектов имущества, ответственных лиц</w:t>
      </w:r>
      <w:r w:rsidR="00B8645E" w:rsidRPr="00901A8F">
        <w:rPr>
          <w:rFonts w:ascii="Times New Roman" w:hAnsi="Times New Roman" w:cs="Times New Roman"/>
          <w:sz w:val="28"/>
          <w:szCs w:val="28"/>
        </w:rPr>
        <w:t>.</w:t>
      </w:r>
    </w:p>
    <w:p w:rsidR="00F16D4E" w:rsidRPr="00901A8F" w:rsidRDefault="0017645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25 «Имущество, переданное в возмездное пользование (аренду</w:t>
      </w:r>
      <w:r w:rsidR="00F64925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 </w:t>
      </w:r>
      <w:proofErr w:type="gramStart"/>
      <w:r w:rsidR="00F64925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="00F64925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600" w:rsidRPr="009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 </w:t>
      </w:r>
      <w:r w:rsidR="00F16D4E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следующими </w:t>
      </w:r>
      <w:proofErr w:type="spellStart"/>
      <w:r w:rsidR="00F16D4E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субсчетами</w:t>
      </w:r>
      <w:proofErr w:type="spellEnd"/>
      <w:r w:rsidR="00F16D4E"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B8645E" w:rsidRPr="00901A8F" w:rsidRDefault="00B8645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- 25.11 «ОС - недвижимое имущество, переданное в возмездное пользование (аренду)»;</w:t>
      </w:r>
    </w:p>
    <w:p w:rsidR="00B8645E" w:rsidRPr="00901A8F" w:rsidRDefault="00B8645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1A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- 25.13 «НПА - недвижимое имущество, переданное в возмездное пользование (аренду)»;</w:t>
      </w:r>
    </w:p>
    <w:p w:rsidR="00DF4600" w:rsidRPr="002124C8" w:rsidRDefault="00F16D4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 </w:t>
      </w:r>
      <w:r w:rsidR="00DF4600"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25.31 «ОС - иное движимое имущество, переданное в возмездное пользование (аренду)»</w:t>
      </w:r>
      <w:r w:rsidR="00F64925"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17E8" w:rsidRPr="002124C8" w:rsidRDefault="00B317E8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- 25.32 «НМА - иное движимое имущество, переданное в возмездное пользование (аренду)»</w:t>
      </w:r>
    </w:p>
    <w:p w:rsidR="00B317E8" w:rsidRPr="002124C8" w:rsidRDefault="00B317E8" w:rsidP="00F9207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- 25.34 «МЗ - иное движимое имущество, переданное в возмездное пользование (аренду)»</w:t>
      </w:r>
    </w:p>
    <w:p w:rsidR="00F16D4E" w:rsidRPr="002124C8" w:rsidRDefault="00F16D4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25.51 </w:t>
      </w:r>
      <w:r w:rsidR="00F64925"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Недвижимое имущество, составляющее казну, переданное в возмездное пользование (аренду)</w:t>
      </w:r>
      <w:r w:rsidR="00F64925"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16D4E" w:rsidRPr="002124C8" w:rsidRDefault="00F16D4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-  25.52</w:t>
      </w:r>
      <w:r w:rsidR="009F5AA3" w:rsidRPr="002124C8">
        <w:t xml:space="preserve"> </w:t>
      </w:r>
      <w:r w:rsidR="00F64925" w:rsidRPr="002124C8">
        <w:t>«</w:t>
      </w:r>
      <w:r w:rsidR="009F5AA3"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 имущество, составляющее казну, переданное в возмездное пользование (аренду)</w:t>
      </w:r>
      <w:r w:rsidR="00F64925"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16D4E" w:rsidRPr="002124C8" w:rsidRDefault="00F16D4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-  25.5</w:t>
      </w:r>
      <w:r w:rsidR="009F5AA3"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F5AA3" w:rsidRPr="002124C8">
        <w:t xml:space="preserve"> </w:t>
      </w:r>
      <w:r w:rsidR="00F64925" w:rsidRPr="002124C8">
        <w:t>«</w:t>
      </w:r>
      <w:r w:rsidR="009F5AA3"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Непроизведенные активы, составляющие казну, переданные в возмездное пользование (аренду)</w:t>
      </w:r>
      <w:r w:rsidR="00F64925"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70056" w:rsidRPr="002124C8" w:rsidRDefault="00B317E8" w:rsidP="008700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-  25.56 «Материальные запасы, составляющие казну, переданные в возмездное пользование (аренду)»</w:t>
      </w:r>
      <w:r w:rsidR="00901A8F" w:rsidRPr="002124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0056" w:rsidRPr="002124C8" w:rsidRDefault="0087005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4C8">
        <w:rPr>
          <w:rFonts w:ascii="Times New Roman" w:hAnsi="Times New Roman" w:cs="Times New Roman"/>
          <w:sz w:val="28"/>
          <w:szCs w:val="28"/>
        </w:rPr>
        <w:t xml:space="preserve">Аналитический учет по </w:t>
      </w:r>
      <w:hyperlink r:id="rId17" w:history="1">
        <w:proofErr w:type="gramStart"/>
        <w:r w:rsidRPr="002124C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</w:t>
        </w:r>
      </w:hyperlink>
      <w:r w:rsidRPr="002124C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proofErr w:type="gramEnd"/>
      <w:r w:rsidRPr="002124C8">
        <w:rPr>
          <w:rFonts w:ascii="Times New Roman" w:hAnsi="Times New Roman" w:cs="Times New Roman"/>
          <w:sz w:val="28"/>
          <w:szCs w:val="28"/>
        </w:rPr>
        <w:t xml:space="preserve"> «25.хх» ведется в количественно-суммовом выражении в разрезе групп арендаторов (юридические, физические лица) имущества, местонахождений объектов (адресов), объектов имущества, кодов классификации операций сектора государственного управления.</w:t>
      </w:r>
    </w:p>
    <w:p w:rsidR="0017645F" w:rsidRPr="00E569C4" w:rsidRDefault="0017645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 «Имущество, переданное в безвозмездное пользование»</w:t>
      </w:r>
      <w:r w:rsidR="00F64925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="00F64925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который</w:t>
      </w:r>
      <w:proofErr w:type="gramEnd"/>
      <w:r w:rsidR="00F64925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4B58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дополнен следующими </w:t>
      </w:r>
      <w:proofErr w:type="spellStart"/>
      <w:r w:rsidR="00E04B58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субсчетами</w:t>
      </w:r>
      <w:proofErr w:type="spellEnd"/>
      <w:r w:rsidR="00E04B58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04B58" w:rsidRPr="00E569C4" w:rsidRDefault="00F53F4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26.11 </w:t>
      </w:r>
      <w:r w:rsidR="00F64925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 - недвижимое имущество, переданное в безвозмездное пользование</w:t>
      </w:r>
      <w:r w:rsidR="00F64925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B317E8" w:rsidRPr="00E569C4" w:rsidRDefault="00B317E8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F920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26.</w:t>
      </w:r>
      <w:r w:rsidR="00870056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 «НПА - недвижимое имущество, переданное в безвозмездное пользование»;</w:t>
      </w:r>
    </w:p>
    <w:p w:rsidR="00F53F47" w:rsidRPr="00E569C4" w:rsidRDefault="00F53F4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9F5AA3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26.31 </w:t>
      </w:r>
      <w:r w:rsidR="00F64925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 - иное движимое имущество, переданное в безвозмездное пользование</w:t>
      </w:r>
      <w:r w:rsidR="00F64925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870056" w:rsidRPr="00E569C4" w:rsidRDefault="0087005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- 26.32 «НМА - иное движимое имущество, переданное в безвозмездное пользование»;</w:t>
      </w:r>
    </w:p>
    <w:p w:rsidR="00870056" w:rsidRPr="00E569C4" w:rsidRDefault="0087005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- 26.34 «МЗ </w:t>
      </w:r>
      <w:proofErr w:type="gramStart"/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-и</w:t>
      </w:r>
      <w:proofErr w:type="gramEnd"/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ное движимое имущество, переданное в безвозмездное пользование»;</w:t>
      </w:r>
    </w:p>
    <w:p w:rsidR="009F5AA3" w:rsidRPr="00E569C4" w:rsidRDefault="00F64925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 26.51 «</w:t>
      </w:r>
      <w:r w:rsidR="009F5AA3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Недвижимое имущество, составляющее казну, переданное в безвозмездное пользование</w:t>
      </w: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9F5AA3" w:rsidRPr="00E569C4" w:rsidRDefault="00F9207D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9F5AA3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26.52 </w:t>
      </w:r>
      <w:r w:rsidR="00F64925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9F5AA3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Движимое имущество, составляющее казну, переданное в безвозмездное пользование</w:t>
      </w:r>
      <w:r w:rsidR="00F64925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870056" w:rsidRPr="00E569C4" w:rsidRDefault="0087005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- 26.55 «Непроизведенные активы, составляющие казну, переданные в безвозмездное пользование»;</w:t>
      </w:r>
    </w:p>
    <w:p w:rsidR="00A441B9" w:rsidRPr="00E569C4" w:rsidRDefault="00870056" w:rsidP="00A441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- 26.56 «Материальные запасы, составляющие казну, переданн</w:t>
      </w:r>
      <w:r w:rsidR="00E569C4" w:rsidRPr="00E569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ые в безвозмездное пользование».</w:t>
      </w:r>
    </w:p>
    <w:p w:rsidR="00A441B9" w:rsidRPr="00E569C4" w:rsidRDefault="00A441B9" w:rsidP="00DB478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9C4">
        <w:rPr>
          <w:rFonts w:ascii="Times New Roman" w:hAnsi="Times New Roman" w:cs="Times New Roman"/>
          <w:sz w:val="28"/>
          <w:szCs w:val="28"/>
        </w:rPr>
        <w:t>Аналитический учет по счетам «26.хх» ведется в количественно-суммовом</w:t>
      </w:r>
      <w:r w:rsidR="00F002DA" w:rsidRPr="00E569C4">
        <w:rPr>
          <w:rFonts w:ascii="Times New Roman" w:hAnsi="Times New Roman" w:cs="Times New Roman"/>
          <w:sz w:val="28"/>
          <w:szCs w:val="28"/>
        </w:rPr>
        <w:t xml:space="preserve"> выражении</w:t>
      </w:r>
      <w:r w:rsidRPr="00E569C4">
        <w:rPr>
          <w:rFonts w:ascii="Times New Roman" w:hAnsi="Times New Roman" w:cs="Times New Roman"/>
          <w:sz w:val="28"/>
          <w:szCs w:val="28"/>
        </w:rPr>
        <w:t xml:space="preserve"> в разрезе групп пользователей (юридические, физические лица) имущества, местонахождений объектов (адресов), объектов имущества, кодов классификации операций сектора государственного управления.</w:t>
      </w:r>
    </w:p>
    <w:p w:rsidR="00A441B9" w:rsidRPr="00F9207D" w:rsidRDefault="0017645F" w:rsidP="00A441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27</w:t>
      </w:r>
      <w:r w:rsidR="00C35299"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«Материальные ценности, выданные в личное пользование работникам (сотрудникам)»</w:t>
      </w:r>
      <w:r w:rsidR="00C35299"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C35299"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="00C35299"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DB5"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 </w:t>
      </w:r>
      <w:proofErr w:type="spellStart"/>
      <w:r w:rsidR="005B7DB5"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субсчетом</w:t>
      </w:r>
      <w:proofErr w:type="spellEnd"/>
      <w:r w:rsidR="005B7DB5"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27.02</w:t>
      </w:r>
      <w:r w:rsidR="005B7DB5" w:rsidRPr="00F9207D">
        <w:t xml:space="preserve"> </w:t>
      </w:r>
      <w:r w:rsidR="00C35299" w:rsidRPr="00F9207D">
        <w:t>«</w:t>
      </w:r>
      <w:r w:rsidR="005B7DB5"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>МЗ, выданные в личное пользование работникам (сотрудникам)</w:t>
      </w:r>
      <w:r w:rsidR="00C35299"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9207D"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41B9" w:rsidRPr="00F9207D" w:rsidRDefault="00A441B9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9207D">
        <w:rPr>
          <w:rFonts w:ascii="Times New Roman" w:hAnsi="Times New Roman" w:cs="Times New Roman"/>
          <w:sz w:val="28"/>
          <w:szCs w:val="28"/>
        </w:rPr>
        <w:t xml:space="preserve">налитический учет по </w:t>
      </w:r>
      <w:hyperlink r:id="rId18" w:history="1">
        <w:r w:rsidRPr="00F9207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счету</w:t>
        </w:r>
      </w:hyperlink>
      <w:r w:rsidRPr="00F9207D">
        <w:rPr>
          <w:rFonts w:ascii="Times New Roman" w:hAnsi="Times New Roman" w:cs="Times New Roman"/>
          <w:sz w:val="28"/>
          <w:szCs w:val="28"/>
        </w:rPr>
        <w:t xml:space="preserve"> ведется в количественно-суммовом </w:t>
      </w:r>
      <w:r w:rsidR="00F002DA" w:rsidRPr="00F9207D">
        <w:rPr>
          <w:rFonts w:ascii="Times New Roman" w:hAnsi="Times New Roman" w:cs="Times New Roman"/>
          <w:sz w:val="28"/>
          <w:szCs w:val="28"/>
        </w:rPr>
        <w:t xml:space="preserve">выражении, </w:t>
      </w:r>
      <w:r w:rsidRPr="00F9207D">
        <w:rPr>
          <w:rFonts w:ascii="Times New Roman" w:hAnsi="Times New Roman" w:cs="Times New Roman"/>
          <w:sz w:val="28"/>
          <w:szCs w:val="28"/>
        </w:rPr>
        <w:t>в разрезе сотрудников (пользователей имущества), местонахождений объектов (адресов), объектов имущества (наименований форменной одежды), кодов классификации операций сектора государственного управления.</w:t>
      </w:r>
    </w:p>
    <w:p w:rsidR="00A441B9" w:rsidRPr="00F9207D" w:rsidRDefault="0017645F" w:rsidP="00A441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>31 «</w:t>
      </w:r>
      <w:r w:rsidR="00F9207D" w:rsidRPr="00F9207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 по номинальной стоимости».</w:t>
      </w:r>
    </w:p>
    <w:p w:rsidR="00A441B9" w:rsidRPr="00F9207D" w:rsidRDefault="00A441B9" w:rsidP="00A441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207D">
        <w:rPr>
          <w:rFonts w:ascii="Times New Roman" w:hAnsi="Times New Roman" w:cs="Times New Roman"/>
          <w:sz w:val="28"/>
          <w:szCs w:val="28"/>
        </w:rPr>
        <w:t xml:space="preserve">Аналитический учет по </w:t>
      </w:r>
      <w:hyperlink r:id="rId19" w:history="1">
        <w:r w:rsidRPr="00F9207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счету</w:t>
        </w:r>
      </w:hyperlink>
      <w:r w:rsidRPr="00F92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207D">
        <w:rPr>
          <w:rFonts w:ascii="Times New Roman" w:hAnsi="Times New Roman" w:cs="Times New Roman"/>
          <w:sz w:val="28"/>
          <w:szCs w:val="28"/>
        </w:rPr>
        <w:t>ведется в разрезе видов акций, контрагентов (эмитентов), реестровых номеров акций.</w:t>
      </w:r>
    </w:p>
    <w:p w:rsidR="00A441B9" w:rsidRPr="006B0E9B" w:rsidRDefault="00A441B9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E9B">
        <w:rPr>
          <w:rFonts w:ascii="Times New Roman" w:hAnsi="Times New Roman" w:cs="Times New Roman"/>
          <w:sz w:val="28"/>
          <w:szCs w:val="28"/>
        </w:rPr>
        <w:t xml:space="preserve">Для управленческого учета и </w:t>
      </w:r>
      <w:proofErr w:type="gramStart"/>
      <w:r w:rsidRPr="006B0E9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B0E9B">
        <w:rPr>
          <w:rFonts w:ascii="Times New Roman" w:hAnsi="Times New Roman" w:cs="Times New Roman"/>
          <w:sz w:val="28"/>
          <w:szCs w:val="28"/>
        </w:rPr>
        <w:t xml:space="preserve"> сохранностью имущества предусмотрены </w:t>
      </w:r>
      <w:r w:rsidR="00F002DA" w:rsidRPr="006B0E9B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proofErr w:type="spellStart"/>
      <w:r w:rsidRPr="006B0E9B">
        <w:rPr>
          <w:rFonts w:ascii="Times New Roman" w:hAnsi="Times New Roman" w:cs="Times New Roman"/>
          <w:sz w:val="28"/>
          <w:szCs w:val="28"/>
        </w:rPr>
        <w:t>забалансовые</w:t>
      </w:r>
      <w:proofErr w:type="spellEnd"/>
      <w:r w:rsidRPr="006B0E9B">
        <w:rPr>
          <w:rFonts w:ascii="Times New Roman" w:hAnsi="Times New Roman" w:cs="Times New Roman"/>
          <w:sz w:val="28"/>
          <w:szCs w:val="28"/>
        </w:rPr>
        <w:t xml:space="preserve"> счета</w:t>
      </w:r>
      <w:r w:rsidR="00F002DA" w:rsidRPr="006B0E9B">
        <w:rPr>
          <w:rFonts w:ascii="Times New Roman" w:hAnsi="Times New Roman" w:cs="Times New Roman"/>
          <w:sz w:val="28"/>
          <w:szCs w:val="28"/>
        </w:rPr>
        <w:t>:</w:t>
      </w:r>
    </w:p>
    <w:p w:rsidR="00F16D4E" w:rsidRPr="00DB4785" w:rsidRDefault="00F16D4E" w:rsidP="00DB4785">
      <w:pPr>
        <w:pStyle w:val="ac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</w:t>
      </w:r>
      <w:r w:rsidR="00B63908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C35299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Имущество казны</w:t>
      </w:r>
      <w:r w:rsidR="006604D7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переданное на хранение</w:t>
      </w:r>
      <w:r w:rsid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F002DA" w:rsidRPr="006B0E9B" w:rsidRDefault="00F002DA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E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B0E9B">
        <w:rPr>
          <w:rFonts w:ascii="Times New Roman" w:hAnsi="Times New Roman" w:cs="Times New Roman"/>
          <w:sz w:val="28"/>
          <w:szCs w:val="28"/>
        </w:rPr>
        <w:t xml:space="preserve">налитический учет по </w:t>
      </w:r>
      <w:hyperlink r:id="rId20" w:history="1">
        <w:r w:rsidRPr="006B0E9B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счету</w:t>
        </w:r>
      </w:hyperlink>
      <w:r w:rsidRPr="006B0E9B">
        <w:rPr>
          <w:rFonts w:ascii="Times New Roman" w:hAnsi="Times New Roman" w:cs="Times New Roman"/>
          <w:sz w:val="28"/>
          <w:szCs w:val="28"/>
        </w:rPr>
        <w:t xml:space="preserve"> ведется в количественно-суммовом выражении в разрезе договоров и иных оснований возникновения обязательств, контрагентов (хранителей имущества), объектов имущества.</w:t>
      </w:r>
    </w:p>
    <w:p w:rsidR="00F16D4E" w:rsidRPr="00DB4785" w:rsidRDefault="00F16D4E" w:rsidP="00DB4785">
      <w:pPr>
        <w:pStyle w:val="ac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ИПУ</w:t>
      </w:r>
      <w:r w:rsidR="00B63908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35299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Индивидуальные приборы учета в жилых помещениях МР</w:t>
      </w:r>
      <w:r w:rsidR="00DB4785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A55BA9" w:rsidRPr="006B0E9B" w:rsidRDefault="004A231B" w:rsidP="00DB4785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1" w:history="1">
        <w:r w:rsidR="00F002DA" w:rsidRPr="006B0E9B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</w:t>
        </w:r>
      </w:hyperlink>
      <w:r w:rsidR="00F002DA" w:rsidRPr="006B0E9B">
        <w:rPr>
          <w:rFonts w:ascii="Times New Roman" w:hAnsi="Times New Roman" w:cs="Times New Roman"/>
          <w:sz w:val="28"/>
          <w:szCs w:val="28"/>
        </w:rPr>
        <w:t xml:space="preserve"> предназначен для учета и</w:t>
      </w:r>
      <w:r w:rsidR="00F002DA" w:rsidRPr="006B0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ндивидуальных приборов учета в жилых помещениях </w:t>
      </w:r>
      <w:r w:rsidR="00A55BA9" w:rsidRPr="006B0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</w:t>
      </w:r>
      <w:r w:rsidR="00F002DA" w:rsidRPr="006B0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компенсируемых</w:t>
      </w:r>
      <w:r w:rsidR="00A55BA9" w:rsidRPr="006B0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Порядку </w:t>
      </w:r>
      <w:r w:rsidR="006B0E9B" w:rsidRPr="006B0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компенсации расходов по установке индивидуальных приборов учета электрической энергии, холодного и горячего водоснабжения, понесенных нанимателями жилых помещений, находящихся в собственности Таймырского Долгано-Ненецкого муниципального района</w:t>
      </w:r>
      <w:r w:rsidR="00A55BA9" w:rsidRPr="006B0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также самостоятельно установленных нанимателями (без компенсации понесенных расходов).</w:t>
      </w:r>
    </w:p>
    <w:p w:rsidR="00F002DA" w:rsidRPr="006B0E9B" w:rsidRDefault="00F002DA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E9B">
        <w:rPr>
          <w:rFonts w:ascii="Times New Roman" w:hAnsi="Times New Roman" w:cs="Times New Roman"/>
          <w:sz w:val="28"/>
          <w:szCs w:val="28"/>
        </w:rPr>
        <w:t xml:space="preserve">Аналитический учет по </w:t>
      </w:r>
      <w:hyperlink r:id="rId22" w:history="1">
        <w:r w:rsidRPr="006B0E9B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счету</w:t>
        </w:r>
      </w:hyperlink>
      <w:r w:rsidRPr="006B0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0E9B">
        <w:rPr>
          <w:rFonts w:ascii="Times New Roman" w:hAnsi="Times New Roman" w:cs="Times New Roman"/>
          <w:sz w:val="28"/>
          <w:szCs w:val="28"/>
        </w:rPr>
        <w:t xml:space="preserve">ведется условной оценке: один </w:t>
      </w:r>
      <w:r w:rsidR="00A55BA9" w:rsidRPr="006B0E9B">
        <w:rPr>
          <w:rFonts w:ascii="Times New Roman" w:hAnsi="Times New Roman" w:cs="Times New Roman"/>
          <w:sz w:val="28"/>
          <w:szCs w:val="28"/>
        </w:rPr>
        <w:t>ИПУ</w:t>
      </w:r>
      <w:r w:rsidRPr="006B0E9B">
        <w:rPr>
          <w:rFonts w:ascii="Times New Roman" w:hAnsi="Times New Roman" w:cs="Times New Roman"/>
          <w:sz w:val="28"/>
          <w:szCs w:val="28"/>
        </w:rPr>
        <w:t xml:space="preserve">, один рубль, по каждому </w:t>
      </w:r>
      <w:r w:rsidR="00A55BA9" w:rsidRPr="006B0E9B">
        <w:rPr>
          <w:rFonts w:ascii="Times New Roman" w:hAnsi="Times New Roman" w:cs="Times New Roman"/>
          <w:sz w:val="28"/>
          <w:szCs w:val="28"/>
        </w:rPr>
        <w:t>ИПУ</w:t>
      </w:r>
      <w:r w:rsidRPr="006B0E9B">
        <w:rPr>
          <w:rFonts w:ascii="Times New Roman" w:hAnsi="Times New Roman" w:cs="Times New Roman"/>
          <w:sz w:val="28"/>
          <w:szCs w:val="28"/>
        </w:rPr>
        <w:t xml:space="preserve"> (по наименованию, </w:t>
      </w:r>
      <w:r w:rsidR="00A55BA9" w:rsidRPr="006B0E9B">
        <w:rPr>
          <w:rFonts w:ascii="Times New Roman" w:hAnsi="Times New Roman" w:cs="Times New Roman"/>
          <w:sz w:val="28"/>
          <w:szCs w:val="28"/>
        </w:rPr>
        <w:t xml:space="preserve">заводскому </w:t>
      </w:r>
      <w:r w:rsidRPr="006B0E9B">
        <w:rPr>
          <w:rFonts w:ascii="Times New Roman" w:hAnsi="Times New Roman" w:cs="Times New Roman"/>
          <w:sz w:val="28"/>
          <w:szCs w:val="28"/>
        </w:rPr>
        <w:t xml:space="preserve">номеру) в разрезе </w:t>
      </w:r>
      <w:r w:rsidR="00A55BA9" w:rsidRPr="006B0E9B">
        <w:rPr>
          <w:rFonts w:ascii="Times New Roman" w:hAnsi="Times New Roman" w:cs="Times New Roman"/>
          <w:sz w:val="28"/>
          <w:szCs w:val="28"/>
        </w:rPr>
        <w:t xml:space="preserve">жилых помещений, где установлены приборы учета </w:t>
      </w:r>
      <w:r w:rsidRPr="006B0E9B">
        <w:rPr>
          <w:rFonts w:ascii="Times New Roman" w:hAnsi="Times New Roman" w:cs="Times New Roman"/>
          <w:sz w:val="28"/>
          <w:szCs w:val="28"/>
        </w:rPr>
        <w:t xml:space="preserve">(адресов, мест </w:t>
      </w:r>
      <w:r w:rsidR="00A55BA9" w:rsidRPr="006B0E9B">
        <w:rPr>
          <w:rFonts w:ascii="Times New Roman" w:hAnsi="Times New Roman" w:cs="Times New Roman"/>
          <w:sz w:val="28"/>
          <w:szCs w:val="28"/>
        </w:rPr>
        <w:t>установки</w:t>
      </w:r>
      <w:r w:rsidRPr="006B0E9B">
        <w:rPr>
          <w:rFonts w:ascii="Times New Roman" w:hAnsi="Times New Roman" w:cs="Times New Roman"/>
          <w:sz w:val="28"/>
          <w:szCs w:val="28"/>
        </w:rPr>
        <w:t>).</w:t>
      </w:r>
    </w:p>
    <w:p w:rsidR="00A14369" w:rsidRPr="00DB4785" w:rsidRDefault="00A477C6" w:rsidP="00DB4785">
      <w:pPr>
        <w:pStyle w:val="ac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ВПЛ</w:t>
      </w:r>
      <w:r w:rsidR="00B63908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35299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«Возвраты прошлых лет»</w:t>
      </w:r>
      <w:r w:rsidR="006604D7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35299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который</w:t>
      </w:r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дополнен следующими </w:t>
      </w:r>
      <w:proofErr w:type="spellStart"/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субсчетами</w:t>
      </w:r>
      <w:proofErr w:type="spellEnd"/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477C6" w:rsidRPr="006B0E9B" w:rsidRDefault="00A477C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ВПЛ.05 </w:t>
      </w:r>
      <w:r w:rsid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35299" w:rsidRPr="006B0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6B0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Возвраты прошлых лет на счета расчетов по платежам из бюджета с финансовым органом</w:t>
      </w:r>
      <w:r w:rsidR="00C35299" w:rsidRPr="006B0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A477C6" w:rsidRPr="006B0E9B" w:rsidRDefault="00A477C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ВПЛ.34 </w:t>
      </w:r>
      <w:r w:rsid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35299" w:rsidRPr="006B0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6B0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Возвраты прошлых лет в кассу</w:t>
      </w:r>
      <w:r w:rsid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A55BA9" w:rsidRPr="006B0E9B" w:rsidRDefault="00A55BA9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E9B">
        <w:rPr>
          <w:rFonts w:ascii="Times New Roman" w:hAnsi="Times New Roman" w:cs="Times New Roman"/>
          <w:sz w:val="28"/>
          <w:szCs w:val="28"/>
        </w:rPr>
        <w:t xml:space="preserve">Аналитический учет по </w:t>
      </w:r>
      <w:hyperlink r:id="rId23" w:history="1">
        <w:r w:rsidRPr="006B0E9B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счету</w:t>
        </w:r>
      </w:hyperlink>
      <w:r w:rsidRPr="006B0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0E9B">
        <w:rPr>
          <w:rFonts w:ascii="Times New Roman" w:hAnsi="Times New Roman" w:cs="Times New Roman"/>
          <w:sz w:val="28"/>
          <w:szCs w:val="28"/>
        </w:rPr>
        <w:t xml:space="preserve">ведется в разрезе кодов бюджетной классификации и </w:t>
      </w:r>
      <w:r w:rsidR="007A4B45" w:rsidRPr="006B0E9B">
        <w:rPr>
          <w:rFonts w:ascii="Times New Roman" w:hAnsi="Times New Roman" w:cs="Times New Roman"/>
          <w:sz w:val="28"/>
          <w:szCs w:val="28"/>
        </w:rPr>
        <w:t>кодов операций сектора государственного управления</w:t>
      </w:r>
    </w:p>
    <w:p w:rsidR="005B7DB5" w:rsidRPr="00DB4785" w:rsidRDefault="00C35299" w:rsidP="00DB4785">
      <w:pPr>
        <w:pStyle w:val="ac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НД</w:t>
      </w:r>
      <w:r w:rsidR="00B63908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5B7DB5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Поступления и выбытия наличных денежных средств</w:t>
      </w:r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A4B45" w:rsidRPr="006B0E9B" w:rsidRDefault="007A4B45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E9B">
        <w:rPr>
          <w:rFonts w:ascii="Times New Roman" w:hAnsi="Times New Roman" w:cs="Times New Roman"/>
          <w:sz w:val="28"/>
          <w:szCs w:val="28"/>
        </w:rPr>
        <w:t xml:space="preserve">Аналитический учет по </w:t>
      </w:r>
      <w:hyperlink r:id="rId24" w:history="1">
        <w:r w:rsidRPr="006B0E9B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счету</w:t>
        </w:r>
      </w:hyperlink>
      <w:r w:rsidRPr="006B0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0E9B">
        <w:rPr>
          <w:rFonts w:ascii="Times New Roman" w:hAnsi="Times New Roman" w:cs="Times New Roman"/>
          <w:sz w:val="28"/>
          <w:szCs w:val="28"/>
        </w:rPr>
        <w:t>ведется в разрезе кодов бюджетной классификации и кодов операций сектора государственного управления</w:t>
      </w:r>
      <w:r w:rsidR="00DB4785">
        <w:rPr>
          <w:rFonts w:ascii="Times New Roman" w:hAnsi="Times New Roman" w:cs="Times New Roman"/>
          <w:sz w:val="28"/>
          <w:szCs w:val="28"/>
        </w:rPr>
        <w:t>.</w:t>
      </w:r>
    </w:p>
    <w:p w:rsidR="001B35F6" w:rsidRPr="00DB4785" w:rsidRDefault="001B35F6" w:rsidP="00DB4785">
      <w:pPr>
        <w:pStyle w:val="ac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</w:t>
      </w:r>
      <w:proofErr w:type="gramStart"/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25281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="00425281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 «</w:t>
      </w:r>
      <w:proofErr w:type="spellStart"/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Забалансовый</w:t>
      </w:r>
      <w:proofErr w:type="spellEnd"/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счет учета предельных объемов финансирования</w:t>
      </w:r>
      <w:r w:rsidR="00425281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A4B45" w:rsidRPr="006B0E9B" w:rsidRDefault="007A4B45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E9B">
        <w:rPr>
          <w:rFonts w:ascii="Times New Roman" w:hAnsi="Times New Roman" w:cs="Times New Roman"/>
          <w:sz w:val="28"/>
          <w:szCs w:val="28"/>
        </w:rPr>
        <w:t xml:space="preserve">Аналитический учет по </w:t>
      </w:r>
      <w:hyperlink r:id="rId25" w:history="1">
        <w:r w:rsidRPr="006B0E9B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счету</w:t>
        </w:r>
      </w:hyperlink>
      <w:r w:rsidRPr="006B0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0E9B">
        <w:rPr>
          <w:rFonts w:ascii="Times New Roman" w:hAnsi="Times New Roman" w:cs="Times New Roman"/>
          <w:sz w:val="28"/>
          <w:szCs w:val="28"/>
        </w:rPr>
        <w:t>ведется в разрезе кодов бюджетной классификации и кодов операций сектора государственного управления</w:t>
      </w:r>
      <w:r w:rsidR="00DB4785">
        <w:rPr>
          <w:rFonts w:ascii="Times New Roman" w:hAnsi="Times New Roman" w:cs="Times New Roman"/>
          <w:sz w:val="28"/>
          <w:szCs w:val="28"/>
        </w:rPr>
        <w:t>.</w:t>
      </w:r>
    </w:p>
    <w:p w:rsidR="00A477C6" w:rsidRPr="00DB4785" w:rsidRDefault="00A477C6" w:rsidP="00DB4785">
      <w:pPr>
        <w:pStyle w:val="ac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ФКР</w:t>
      </w:r>
      <w:r w:rsidR="00B63908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35299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B63908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35299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«Фонд </w:t>
      </w:r>
      <w:r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капитального ремонта</w:t>
      </w:r>
      <w:r w:rsidR="00C35299" w:rsidRP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DB47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11377" w:rsidRPr="00692080" w:rsidRDefault="004A231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6" w:history="1">
        <w:r w:rsidR="007A4B45" w:rsidRPr="006B0E9B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Счет</w:t>
        </w:r>
      </w:hyperlink>
      <w:r w:rsidR="007A4B45" w:rsidRPr="006B0E9B">
        <w:rPr>
          <w:rFonts w:ascii="Times New Roman" w:hAnsi="Times New Roman" w:cs="Times New Roman"/>
          <w:sz w:val="28"/>
          <w:szCs w:val="28"/>
        </w:rPr>
        <w:t xml:space="preserve"> предназначен для аналитического учета сумм взноса на капитальный ремонт</w:t>
      </w:r>
      <w:r w:rsidR="000F0121" w:rsidRPr="006B0E9B">
        <w:rPr>
          <w:rFonts w:ascii="Times New Roman" w:hAnsi="Times New Roman" w:cs="Times New Roman"/>
          <w:sz w:val="28"/>
          <w:szCs w:val="28"/>
        </w:rPr>
        <w:t xml:space="preserve"> в разрезе </w:t>
      </w:r>
      <w:r w:rsidR="008A6CD8" w:rsidRPr="006B0E9B">
        <w:rPr>
          <w:rFonts w:ascii="Times New Roman" w:hAnsi="Times New Roman" w:cs="Times New Roman"/>
          <w:sz w:val="28"/>
          <w:szCs w:val="28"/>
        </w:rPr>
        <w:t>объектов жилого фонда.</w:t>
      </w:r>
    </w:p>
    <w:p w:rsidR="00A14369" w:rsidRDefault="0080760F" w:rsidP="00A557B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 целях  обеспечения достоверности данных бухгалтерского учета и</w:t>
      </w:r>
      <w:r w:rsidR="00351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 утвержден порядок проведения инвентаризации имущества и обязательств в Учреждениях</w:t>
      </w:r>
      <w:r w:rsidR="004A2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8. </w:t>
      </w:r>
      <w:r w:rsid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31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Инвентаризацию имущества и обязатель</w:t>
      </w:r>
      <w:proofErr w:type="gramStart"/>
      <w:r w:rsidR="004A23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 пр</w:t>
      </w:r>
      <w:proofErr w:type="gramEnd"/>
      <w:r w:rsidR="004A231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</w:t>
      </w:r>
      <w:r w:rsidR="009C462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B6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постоянно </w:t>
      </w:r>
      <w:bookmarkStart w:id="0" w:name="_GoBack"/>
      <w:bookmarkEnd w:id="0"/>
      <w:r w:rsidR="004A231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</w:t>
      </w:r>
      <w:r w:rsidR="009C4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="004A23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</w:t>
      </w:r>
      <w:r w:rsidR="009C462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2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поступлению и выбытию активов, созданн</w:t>
      </w:r>
      <w:r w:rsidR="009C4629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4A2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Учреждениях.</w:t>
      </w:r>
    </w:p>
    <w:p w:rsidR="00A14369" w:rsidRPr="00A14369" w:rsidRDefault="00A14369" w:rsidP="00A557B9">
      <w:pPr>
        <w:tabs>
          <w:tab w:val="left" w:pos="28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087" w:rsidRPr="006604D7" w:rsidRDefault="006604D7" w:rsidP="00532172">
      <w:pPr>
        <w:tabs>
          <w:tab w:val="left" w:pos="2865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3. </w:t>
      </w:r>
      <w:r w:rsidR="006D130E" w:rsidRPr="006604D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Правила документооборота и технология обработки учетной информации</w:t>
      </w:r>
      <w:r w:rsidR="00507087" w:rsidRPr="006604D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0B136E" w:rsidRDefault="0080760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6D130E" w:rsidRPr="006D130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Взаимодействие МКУ «ЦОД» с Учреждениями при формировании первичных (сводных) учетных документов, при представлении данных бухгалтерского учета осуществляется посредством передачи документов на бумажном носителе либо электронных образов (</w:t>
      </w:r>
      <w:proofErr w:type="gramStart"/>
      <w:r w:rsidR="006D130E" w:rsidRPr="006D130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скан-копий</w:t>
      </w:r>
      <w:proofErr w:type="gramEnd"/>
      <w:r w:rsidR="006D130E" w:rsidRPr="006D130E">
        <w:rPr>
          <w:rFonts w:ascii="Times New Roman" w:eastAsia="Times New Roman" w:hAnsi="Times New Roman" w:cs="Times New Roman"/>
          <w:sz w:val="28"/>
          <w:szCs w:val="28"/>
          <w:lang w:eastAsia="ru-RU"/>
        </w:rPr>
        <w:t>) бумажных документов посредством электронной почты с дальнейшим подтверждением на бумажном носителе. Детальный порядок взаимодействия изложен в графике документооборота</w:t>
      </w:r>
      <w:r w:rsidR="005E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E1162D" w:rsidRPr="00624D7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E7D69" w:rsidRPr="00624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риложению </w:t>
      </w:r>
      <w:r w:rsidR="00E1162D" w:rsidRPr="00624D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1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D130E" w:rsidRPr="006D1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движения и обработки первичных учетных документов и отчетности регулируется графиком документооборота согласно </w:t>
      </w:r>
      <w:r w:rsidR="00E1162D" w:rsidRPr="003019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D130E" w:rsidRPr="0030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риложению  </w:t>
      </w:r>
      <w:r w:rsidR="003019CA" w:rsidRPr="003019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130E" w:rsidRPr="003019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130E" w:rsidRPr="006D130E" w:rsidRDefault="000B136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Ответственность за соблюдение графика документооборота, а также ответственность за своевременное и качественное оформление </w:t>
      </w:r>
      <w:r w:rsidR="00635F4B">
        <w:rPr>
          <w:rFonts w:ascii="Times New Roman" w:hAnsi="Times New Roman" w:cs="Times New Roman"/>
          <w:sz w:val="28"/>
          <w:szCs w:val="28"/>
        </w:rPr>
        <w:t xml:space="preserve">первичных </w:t>
      </w:r>
      <w:r>
        <w:rPr>
          <w:rFonts w:ascii="Times New Roman" w:hAnsi="Times New Roman" w:cs="Times New Roman"/>
          <w:sz w:val="28"/>
          <w:szCs w:val="28"/>
        </w:rPr>
        <w:t xml:space="preserve">документов, своевременную передачу их для отражения в бухгалтерском учете и отчетности, достоверность содержащихся в них данных несут лица, </w:t>
      </w:r>
      <w:r w:rsidRPr="00635F4B">
        <w:rPr>
          <w:rFonts w:ascii="Times New Roman" w:hAnsi="Times New Roman" w:cs="Times New Roman"/>
          <w:sz w:val="28"/>
          <w:szCs w:val="28"/>
        </w:rPr>
        <w:t xml:space="preserve">создавшие и подписавшие </w:t>
      </w:r>
      <w:r w:rsidR="00635F4B" w:rsidRPr="00635F4B">
        <w:rPr>
          <w:rFonts w:ascii="Times New Roman" w:hAnsi="Times New Roman" w:cs="Times New Roman"/>
          <w:sz w:val="28"/>
          <w:szCs w:val="28"/>
        </w:rPr>
        <w:t>первичные</w:t>
      </w:r>
      <w:r w:rsidRPr="00635F4B">
        <w:rPr>
          <w:rFonts w:ascii="Times New Roman" w:hAnsi="Times New Roman" w:cs="Times New Roman"/>
          <w:sz w:val="28"/>
          <w:szCs w:val="28"/>
        </w:rPr>
        <w:t xml:space="preserve"> документы.</w:t>
      </w:r>
    </w:p>
    <w:p w:rsidR="00FC06C3" w:rsidRDefault="00FC06C3" w:rsidP="00FC06C3">
      <w:pPr>
        <w:tabs>
          <w:tab w:val="left" w:pos="0"/>
          <w:tab w:val="left" w:pos="284"/>
          <w:tab w:val="left" w:pos="567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0760F" w:rsidRPr="00FC0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029" w:rsidRPr="00FC0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(бухгалтерский) учет ведется по </w:t>
      </w:r>
      <w:proofErr w:type="gramStart"/>
      <w:r w:rsidR="00B64029" w:rsidRPr="00FC06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проверенным</w:t>
      </w:r>
      <w:proofErr w:type="gramEnd"/>
      <w:r w:rsidR="00B64029" w:rsidRPr="00FC0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</w:p>
    <w:p w:rsidR="00B64029" w:rsidRDefault="00B64029" w:rsidP="00FC06C3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6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принятым к учету первичным документам, систематизир</w:t>
      </w:r>
      <w:r w:rsidR="00C52A97" w:rsidRPr="00FC06C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ованными</w:t>
      </w:r>
      <w:r w:rsidRPr="00FC0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датам совершения фактов хозяйственной жизни (в хронологическом порядке) и отражающимся накопительным способом в журналах операций и Главной книге.</w:t>
      </w:r>
    </w:p>
    <w:p w:rsidR="00B64029" w:rsidRPr="00B64029" w:rsidRDefault="0080760F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4029" w:rsidRPr="00B6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Факты хозяйственной деятельности </w:t>
      </w:r>
      <w:r w:rsidR="00F81E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о</w:t>
      </w:r>
      <w:r w:rsidR="00B64029" w:rsidRPr="00B6402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тносятся к тому отчетному периоду, в котором они имели место, независимо от фактического времени поступления документов, подтверждающих хозяйственную операцию</w:t>
      </w:r>
      <w:r w:rsidR="007E39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4029" w:rsidRPr="00B6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выплаты денежных средств</w:t>
      </w:r>
      <w:r w:rsidR="00B64029" w:rsidRPr="00E8118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связанных с этими фактами</w:t>
      </w:r>
      <w:r w:rsidR="00B64029" w:rsidRPr="00B6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(допущение временной определенности фактов хозяйственной деятельности).</w:t>
      </w:r>
    </w:p>
    <w:p w:rsidR="00F52C89" w:rsidRDefault="0080760F" w:rsidP="00A557B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3.3</w:t>
      </w:r>
      <w:r w:rsidR="00F52C89" w:rsidRPr="00F52C8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Список лиц, имеющих полномочия подписывать денежные и расчетные документы</w:t>
      </w:r>
      <w:r w:rsidR="00F5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52C89" w:rsidRPr="00F5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визировать финансовые обязательства, </w:t>
      </w:r>
      <w:r w:rsidR="00F5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устанавливается и утверждается  </w:t>
      </w:r>
      <w:r w:rsidR="00F52C89" w:rsidRPr="002C4B0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</w:t>
      </w:r>
      <w:r w:rsidR="00F5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Учреждений.</w:t>
      </w:r>
      <w:r w:rsidR="00F52C89" w:rsidRPr="00F5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1E69" w:rsidRPr="00F61E69" w:rsidRDefault="00DC7452" w:rsidP="00A557B9">
      <w:pPr>
        <w:tabs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F61E69" w:rsidRPr="00F61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Формирование  регистров бухгалтерского учета на бумажном </w:t>
      </w:r>
      <w:r w:rsidR="00F61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61E69" w:rsidRPr="00F61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осителе</w:t>
      </w:r>
      <w:r w:rsidR="00F61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E69" w:rsidRPr="00F61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осуществляется: </w:t>
      </w:r>
    </w:p>
    <w:p w:rsidR="00F61E69" w:rsidRPr="00C52A97" w:rsidRDefault="00F61E69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по регистрам, используемым при составлении бюджетной отчетности - по </w:t>
      </w:r>
      <w:r w:rsidRPr="00C52A9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окончанию отчетного периода;</w:t>
      </w:r>
    </w:p>
    <w:p w:rsidR="00F61E69" w:rsidRPr="00F61E69" w:rsidRDefault="00F61E69" w:rsidP="00A557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6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остальным регистрам – по мере необходимости, но не реже 1 раза в год.</w:t>
      </w:r>
    </w:p>
    <w:p w:rsidR="00F61E69" w:rsidRPr="00F61E69" w:rsidRDefault="00F61E69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выведении регистров бухгалтерского учета на бумажные носители допускается отличие выходной формы документа от утвержденной формы документа при условии, что реквизиты и показатели выходной формы документа содержат обязательные реквизиты и показатели соответствующих регистров бухгалтерского учета.  </w:t>
      </w:r>
    </w:p>
    <w:p w:rsidR="00B64029" w:rsidRPr="00B64029" w:rsidRDefault="00DC7452" w:rsidP="00D5193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="00D5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61E69" w:rsidRPr="00F61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представленные за выполнение работ, оказание услуг после </w:t>
      </w:r>
      <w:r w:rsidR="00D519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финансовым органом бухгалтерской (бюджетной) отчетности</w:t>
      </w:r>
      <w:r w:rsidR="00F61E69" w:rsidRPr="00F61E6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принимаются к учету в текущем году, с использованием счетов финансового результата экономического субъекта для исправления ошибок прошлых лет, выявленных в отчетном году.</w:t>
      </w:r>
    </w:p>
    <w:p w:rsidR="00A14369" w:rsidRPr="00A14369" w:rsidRDefault="00DC7452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составления и представления бухгалтерской (</w:t>
      </w:r>
      <w:r w:rsidR="00BF2B3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</w:t>
      </w:r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отчетности устанавливается Инструкцией № 191н</w:t>
      </w:r>
      <w:r w:rsidR="00BF2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приказами </w:t>
      </w:r>
      <w:proofErr w:type="spellStart"/>
      <w:r w:rsidR="00BF2B3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</w:t>
      </w:r>
      <w:proofErr w:type="spellEnd"/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Отчетность представляется в  </w:t>
      </w:r>
      <w:proofErr w:type="spellStart"/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</w:t>
      </w:r>
      <w:proofErr w:type="spellEnd"/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бумажном носителе, а также по требованию </w:t>
      </w:r>
      <w:proofErr w:type="spellStart"/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</w:t>
      </w:r>
      <w:proofErr w:type="spellEnd"/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электронном виде средствами программного комплекса «</w:t>
      </w:r>
      <w:proofErr w:type="spellStart"/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-Консолидация» без применения электронно-цифровой подписи. Срок сдачи бюджетной отчетности устанавливается </w:t>
      </w:r>
      <w:proofErr w:type="spellStart"/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</w:t>
      </w:r>
      <w:proofErr w:type="spellEnd"/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форм отчетности установлен Инструкцией №</w:t>
      </w:r>
      <w:r w:rsidR="00C52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191н, а также </w:t>
      </w:r>
      <w:proofErr w:type="spellStart"/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</w:t>
      </w:r>
      <w:proofErr w:type="spellEnd"/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дополнительных форм отчетности, представляемых в составе отчетности по его требованию.</w:t>
      </w:r>
    </w:p>
    <w:p w:rsidR="00A14369" w:rsidRDefault="00DC7452" w:rsidP="00A557B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3.7</w:t>
      </w:r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>.  В целях достоверного представления бухгалтерской (</w:t>
      </w:r>
      <w:r w:rsidR="00BF2B3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</w:t>
      </w:r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отчетности ошибки, которые повлекли за собой отклонения по величине активов и обязательств, полученного финансового результата, считаются существенными и подлежат исправлению в бухгалтерском (бюджетном) учете и бухгалтерской (</w:t>
      </w:r>
      <w:r w:rsidR="00BF2B3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</w:t>
      </w:r>
      <w:r w:rsidR="00A14369" w:rsidRPr="00A14369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отчетности.</w:t>
      </w:r>
      <w:r w:rsidR="00B6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5EF3" w:rsidRDefault="00DC7452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="00DC5EF3" w:rsidRPr="00DC5EF3">
        <w:rPr>
          <w:rFonts w:ascii="Times New Roman" w:eastAsia="Times New Roman" w:hAnsi="Times New Roman" w:cs="Times New Roman"/>
          <w:sz w:val="28"/>
          <w:szCs w:val="28"/>
          <w:lang w:eastAsia="ru-RU"/>
        </w:rPr>
        <w:t>.  Форма ведения бухгалтерского учета - журнальная.</w:t>
      </w:r>
    </w:p>
    <w:p w:rsidR="00DC5EF3" w:rsidRDefault="0050708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0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журналов операций осуществляется ежемесячно</w:t>
      </w:r>
      <w:r w:rsidR="00DC5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B6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EF3" w:rsidRPr="00B640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</w:t>
      </w:r>
      <w:r w:rsidR="00DC5EF3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ожением п</w:t>
      </w:r>
      <w:r w:rsidR="00DC5EF3" w:rsidRPr="00B6402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ервичны</w:t>
      </w:r>
      <w:r w:rsidR="00DC5EF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C5EF3" w:rsidRPr="00B6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учетны</w:t>
      </w:r>
      <w:r w:rsidR="00DC5EF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C5EF3" w:rsidRPr="00B6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DC5EF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C5EF3" w:rsidRPr="00B6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40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следующей нумерацией</w:t>
      </w:r>
      <w:r w:rsidR="00DC5EF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7087" w:rsidRDefault="000D291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1 - ж</w:t>
      </w:r>
      <w:r w:rsidR="00DC5EF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урнал операций по счету «Касса»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5EF3" w:rsidRDefault="000D291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2 - ж</w:t>
      </w:r>
      <w:r w:rsidR="00DC5EF3" w:rsidRPr="00DC5EF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урнал операций с безналичными денежными средствами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5EF3" w:rsidRDefault="000D291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3 - ж</w:t>
      </w:r>
      <w:r w:rsidR="00DC5EF3" w:rsidRPr="00DC5EF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урнал операций расчетов с подотчетными лицами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66D6" w:rsidRDefault="000D291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4 - ж</w:t>
      </w:r>
      <w:r w:rsidR="002B66D6" w:rsidRPr="002B66D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урнал операций расчетов с поставщиками и подрядчиками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66D6" w:rsidRDefault="000D291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5 - ж</w:t>
      </w:r>
      <w:r w:rsidR="002B66D6" w:rsidRPr="002B66D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урнал операций расчетов с дебиторами по доходам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66D6" w:rsidRDefault="000D291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6 - ж</w:t>
      </w:r>
      <w:r w:rsidR="002B66D6" w:rsidRPr="002B66D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урнал операций расчетов по оплате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66D6" w:rsidRDefault="000D291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7 </w:t>
      </w:r>
      <w:r w:rsidR="00624D7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</w:t>
      </w:r>
      <w:r w:rsidR="002B66D6" w:rsidRPr="002B66D6">
        <w:rPr>
          <w:rFonts w:ascii="Times New Roman" w:eastAsia="Times New Roman" w:hAnsi="Times New Roman" w:cs="Times New Roman"/>
          <w:sz w:val="28"/>
          <w:szCs w:val="28"/>
          <w:lang w:eastAsia="ru-RU"/>
        </w:rPr>
        <w:t>рнал операций по выбытию и перемещению нефинансовых активов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66D6" w:rsidRDefault="000D291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8 - ж</w:t>
      </w:r>
      <w:r w:rsidR="002B66D6" w:rsidRPr="002B66D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урнал по прочим операциям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291B" w:rsidRDefault="000D291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8-мо - ж</w:t>
      </w:r>
      <w:r w:rsidRPr="002B6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урнал операций </w:t>
      </w:r>
      <w:proofErr w:type="spellStart"/>
      <w:r w:rsidRPr="002B66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межотчетного</w:t>
      </w:r>
      <w:proofErr w:type="spellEnd"/>
      <w:r w:rsidRPr="002B6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592F62" w:rsidRDefault="000D291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9 - ж</w:t>
      </w:r>
      <w:r w:rsidR="002B66D6" w:rsidRPr="00592F6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урнал по санкционированию</w:t>
      </w:r>
      <w:r w:rsidR="006C67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7087" w:rsidRPr="00B64029" w:rsidRDefault="0050708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Главная книга формируется отдельно по каждому </w:t>
      </w:r>
      <w:r w:rsidR="00B64029" w:rsidRPr="000D291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D291B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чреждению</w:t>
      </w:r>
      <w:r w:rsidR="006C67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1953" w:rsidRPr="00E826AA" w:rsidRDefault="00513387" w:rsidP="00A557B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3.9</w:t>
      </w:r>
      <w:r w:rsidR="006C67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1953"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унифицированные формы документов, утвержденные </w:t>
      </w:r>
      <w:r w:rsidR="00D14A1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91953"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риказом </w:t>
      </w:r>
      <w:r w:rsidR="00D14A1E">
        <w:rPr>
          <w:rFonts w:ascii="Times New Roman" w:eastAsia="Times New Roman" w:hAnsi="Times New Roman" w:cs="Times New Roman"/>
          <w:sz w:val="28"/>
          <w:szCs w:val="28"/>
          <w:lang w:eastAsia="ru-RU"/>
        </w:rPr>
        <w:t>№ 52н.</w:t>
      </w:r>
    </w:p>
    <w:p w:rsidR="00291953" w:rsidRPr="00E826AA" w:rsidRDefault="0051338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</w:t>
      </w:r>
      <w:r w:rsidR="00291953"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Операции, для которых отсутствуют унифицированные формы первичных учетных документов, оформляются в соответствии с требованиями пункта 2 статьи 9 Федерального закона от 06.12.2011 № 402-ФЗ «О бухгалтерском учете» самостоятельно разработанными формами документов с обязательным указанием реквизитов:</w:t>
      </w:r>
    </w:p>
    <w:p w:rsidR="00291953" w:rsidRPr="00E826AA" w:rsidRDefault="0029195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документа;</w:t>
      </w:r>
    </w:p>
    <w:p w:rsidR="00291953" w:rsidRPr="00E826AA" w:rsidRDefault="0029195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дата составления документа;</w:t>
      </w:r>
    </w:p>
    <w:p w:rsidR="00291953" w:rsidRPr="00E826AA" w:rsidRDefault="0029195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учреждения;</w:t>
      </w:r>
    </w:p>
    <w:p w:rsidR="00291953" w:rsidRPr="00E826AA" w:rsidRDefault="0029195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факта хозяйственной жизни;</w:t>
      </w:r>
    </w:p>
    <w:p w:rsidR="00291953" w:rsidRPr="00E826AA" w:rsidRDefault="0029195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величина натурального и (или) денежного измерения факта хозяйственной жизни с указанием единиц измерения;</w:t>
      </w:r>
    </w:p>
    <w:p w:rsidR="00291953" w:rsidRPr="00E826AA" w:rsidRDefault="0029195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должностей лиц, совершивших сделку, операцию и ответственных за правильность ее оформления либо наименование должностей лиц, ответственных за правильность оформления свершившегося события;</w:t>
      </w:r>
    </w:p>
    <w:p w:rsidR="00291953" w:rsidRPr="00E826AA" w:rsidRDefault="0029195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6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подписи вышеуказанных лиц с указанием их фамилий и инициалов либо иных реквизитов, необходимых для идентификации этих лиц.</w:t>
      </w:r>
    </w:p>
    <w:p w:rsidR="0045311A" w:rsidRPr="0045311A" w:rsidRDefault="0045311A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13387" w:rsidRPr="00513387">
        <w:rPr>
          <w:rFonts w:ascii="Times New Roman" w:eastAsia="Times New Roman" w:hAnsi="Times New Roman" w:cs="Times New Roman"/>
          <w:sz w:val="28"/>
          <w:szCs w:val="28"/>
          <w:lang w:eastAsia="ru-RU"/>
        </w:rPr>
        <w:t>3.11.</w:t>
      </w:r>
      <w:r w:rsidR="00513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3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деятельности </w:t>
      </w:r>
      <w:r w:rsid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53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чреждений используются следующие бланки строгой </w:t>
      </w:r>
      <w:r w:rsidRPr="001962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</w:t>
      </w:r>
      <w:r w:rsidR="005239C7" w:rsidRPr="00196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условной оценке: один бланк</w:t>
      </w:r>
      <w:r w:rsidR="00315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5239C7" w:rsidRPr="00196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рубль</w:t>
      </w:r>
      <w:r w:rsidRPr="001962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A36A1" w:rsidRDefault="005239C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5311A" w:rsidRPr="00453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бланки тру</w:t>
      </w:r>
      <w:r w:rsidR="00453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довых книжек и вкладышей к ним;</w:t>
      </w:r>
    </w:p>
    <w:p w:rsidR="0045311A" w:rsidRPr="0045311A" w:rsidRDefault="001A36A1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путевые листы</w:t>
      </w:r>
      <w:r w:rsidR="005239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311A" w:rsidRDefault="0045311A" w:rsidP="00A557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должностей сотрудников, ответственных за учет, хранение и выдачу бланков строгой отчетности,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5311A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чреждения устанавливают самостоятельно.</w:t>
      </w:r>
    </w:p>
    <w:p w:rsidR="0045311A" w:rsidRPr="0045311A" w:rsidRDefault="00513387" w:rsidP="00A557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 </w:t>
      </w:r>
      <w:r w:rsidR="0045311A" w:rsidRPr="00453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документы хранятся в кассе учреждения: почтовые марки, конверты с марками и марки государственной пошлины и т.п.</w:t>
      </w:r>
    </w:p>
    <w:p w:rsidR="0045311A" w:rsidRPr="0045311A" w:rsidRDefault="0045311A" w:rsidP="00A557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в кассу и выдача из кассы таких документов оформляются Приходными кассовыми ордерами и Расходными кассовыми ордерами с оформлением на них записи  «Фондовый».</w:t>
      </w:r>
    </w:p>
    <w:p w:rsidR="0045311A" w:rsidRPr="0045311A" w:rsidRDefault="0045311A" w:rsidP="00A557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отчета по выданным денежным документам устанавливается не позднее 3 месяцев с даты их выдачи. Списание с подотчета материально ответственных лиц денежных документов производится согласно авансовому отчету с приложенным к нему реестром отправки почтовой корреспонденции в соответствии </w:t>
      </w:r>
      <w:r w:rsidRPr="007A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 </w:t>
      </w:r>
      <w:r w:rsidR="00E1162D" w:rsidRPr="007A2F4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A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риложением </w:t>
      </w:r>
      <w:r w:rsidR="00474DC0" w:rsidRPr="007A2F4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2F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311A" w:rsidRPr="007A2F41" w:rsidRDefault="0045311A" w:rsidP="00A557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Аналитический учет ведется в отдельных Карточках учета средств и расчетов, открываемых на каждый вид денежных документов, приведенных </w:t>
      </w:r>
      <w:r w:rsidRPr="007A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="00E1162D" w:rsidRPr="007A2F4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A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риложении </w:t>
      </w:r>
      <w:r w:rsidR="00474DC0" w:rsidRPr="007A2F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A2F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311A" w:rsidRPr="0045311A" w:rsidRDefault="0045311A" w:rsidP="00A557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F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Карточка открывается</w:t>
      </w:r>
      <w:r w:rsidRPr="00453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записями сумм остатков на начало года. Текущие записи производятся не позднее следующего дня после совершения операции. </w:t>
      </w:r>
    </w:p>
    <w:p w:rsidR="00793F08" w:rsidRPr="00793F08" w:rsidRDefault="00793F08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1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3.13.  </w:t>
      </w:r>
      <w:r w:rsidRPr="00793F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 по заработной плате и другим выплатам оформляются в Расчетной ведомости (</w:t>
      </w:r>
      <w:hyperlink r:id="rId27" w:anchor="/document/140/41204/" w:tooltip="ОКУД 0504402. Расчетная ведомость" w:history="1">
        <w:r w:rsidRPr="00793F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ф. 0504402</w:t>
        </w:r>
      </w:hyperlink>
      <w:r w:rsidRPr="00793F08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Платежной ведомости (</w:t>
      </w:r>
      <w:hyperlink r:id="rId28" w:anchor="/document/140/41217/" w:tooltip="ОКУД 0504403. Платежная ведомость" w:history="1">
        <w:r w:rsidRPr="00793F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ф. 0504403</w:t>
        </w:r>
      </w:hyperlink>
      <w:r w:rsidRPr="00793F08">
        <w:rPr>
          <w:rFonts w:ascii="Times New Roman" w:eastAsia="Times New Roman" w:hAnsi="Times New Roman" w:cs="Times New Roman"/>
          <w:sz w:val="28"/>
          <w:szCs w:val="28"/>
          <w:lang w:eastAsia="ru-RU"/>
        </w:rPr>
        <w:t>). </w:t>
      </w:r>
    </w:p>
    <w:p w:rsidR="00507087" w:rsidRPr="001A36A1" w:rsidRDefault="005418A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Табель</w:t>
      </w:r>
      <w:r w:rsidR="00507087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учета использования рабочего времени </w:t>
      </w:r>
      <w:r w:rsidR="00507087" w:rsidRPr="00552C3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29" w:anchor="/document/140/41219/" w:tooltip="ОКУД 0504421. Табель учета использования рабочего времени" w:history="1">
        <w:r w:rsidR="00507087" w:rsidRPr="00552C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ф. 0504421</w:t>
        </w:r>
      </w:hyperlink>
      <w:r w:rsidR="00507087" w:rsidRPr="00552C3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07087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 методом сплошной регистрации явок и неявок с указанием отработанных часов</w:t>
      </w:r>
      <w:r w:rsidR="00513387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7087" w:rsidRDefault="0050708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C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Табель учета использования рабочего времени дополнен</w:t>
      </w: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следующими </w:t>
      </w: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условными</w:t>
      </w:r>
      <w:r w:rsidR="006D130E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C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обозначениями:</w:t>
      </w:r>
    </w:p>
    <w:p w:rsidR="00552C30" w:rsidRPr="001A36A1" w:rsidRDefault="00552C30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6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30"/>
        <w:gridCol w:w="1558"/>
      </w:tblGrid>
      <w:tr w:rsidR="00507087" w:rsidRPr="0090762D" w:rsidTr="00021957">
        <w:trPr>
          <w:trHeight w:val="570"/>
        </w:trPr>
        <w:tc>
          <w:tcPr>
            <w:tcW w:w="77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507087" w:rsidRPr="0090762D" w:rsidTr="00021957">
        <w:trPr>
          <w:trHeight w:val="570"/>
        </w:trPr>
        <w:tc>
          <w:tcPr>
            <w:tcW w:w="77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Дополнительные выходные дни (оплачиваемые)</w:t>
            </w:r>
          </w:p>
        </w:tc>
        <w:tc>
          <w:tcPr>
            <w:tcW w:w="15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507087" w:rsidRPr="0090762D" w:rsidTr="00021957">
        <w:trPr>
          <w:trHeight w:val="570"/>
        </w:trPr>
        <w:tc>
          <w:tcPr>
            <w:tcW w:w="77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Заключение под стражу</w:t>
            </w:r>
          </w:p>
        </w:tc>
        <w:tc>
          <w:tcPr>
            <w:tcW w:w="15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ЗС</w:t>
            </w:r>
          </w:p>
        </w:tc>
      </w:tr>
      <w:tr w:rsidR="00507087" w:rsidRPr="0090762D" w:rsidTr="00021957">
        <w:trPr>
          <w:trHeight w:val="571"/>
        </w:trPr>
        <w:tc>
          <w:tcPr>
            <w:tcW w:w="77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Нахождение в пути к месту вахты и обратно</w:t>
            </w:r>
          </w:p>
        </w:tc>
        <w:tc>
          <w:tcPr>
            <w:tcW w:w="15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ДП</w:t>
            </w:r>
          </w:p>
        </w:tc>
      </w:tr>
      <w:tr w:rsidR="00507087" w:rsidRPr="0090762D" w:rsidTr="003D3817">
        <w:tc>
          <w:tcPr>
            <w:tcW w:w="77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Дополнительный оплачиваемый выходной день для прохождения диспансеризации</w:t>
            </w:r>
          </w:p>
        </w:tc>
        <w:tc>
          <w:tcPr>
            <w:tcW w:w="15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507087" w:rsidRPr="0090762D" w:rsidTr="003D3817">
        <w:tc>
          <w:tcPr>
            <w:tcW w:w="77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Нерабочий оплачиваемый день</w:t>
            </w:r>
          </w:p>
        </w:tc>
        <w:tc>
          <w:tcPr>
            <w:tcW w:w="15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</w:tr>
      <w:tr w:rsidR="00507087" w:rsidRPr="0090762D" w:rsidTr="003D3817">
        <w:tc>
          <w:tcPr>
            <w:tcW w:w="77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Выходные за вакцинацию с сохранением заработной платы</w:t>
            </w:r>
          </w:p>
        </w:tc>
        <w:tc>
          <w:tcPr>
            <w:tcW w:w="15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07087" w:rsidRPr="0090762D" w:rsidRDefault="00507087" w:rsidP="003D38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0762D"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gramEnd"/>
          </w:p>
        </w:tc>
      </w:tr>
    </w:tbl>
    <w:p w:rsidR="00AD7C9E" w:rsidRPr="001A36A1" w:rsidRDefault="00AD7C9E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42C3" w:rsidRPr="0072195C" w:rsidRDefault="002F56AF" w:rsidP="005321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21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="001742C3" w:rsidRPr="00721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 Общие правила ведения бухгалтерского учета</w:t>
      </w:r>
    </w:p>
    <w:p w:rsidR="001742C3" w:rsidRPr="0072195C" w:rsidRDefault="001742C3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2C3" w:rsidRPr="001A36A1" w:rsidRDefault="001742C3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F56A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 целях организации и ведения бюджетного (бухгалтерского) учета ведется раздельный учет по видам финансового обеспечения (деятельности):</w:t>
      </w:r>
    </w:p>
    <w:p w:rsidR="001742C3" w:rsidRPr="001A36A1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бюджетная деятельность;</w:t>
      </w:r>
    </w:p>
    <w:p w:rsidR="001742C3" w:rsidRPr="001A36A1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во временном распоряжении.</w:t>
      </w:r>
    </w:p>
    <w:p w:rsidR="00DC5921" w:rsidRDefault="00DC5921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42C3" w:rsidRPr="0093437F" w:rsidRDefault="002F56A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742C3" w:rsidRPr="00934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</w:t>
      </w:r>
      <w:r w:rsidRPr="00934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557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Основные средства</w:t>
      </w:r>
    </w:p>
    <w:p w:rsidR="00BD0380" w:rsidRPr="001A36A1" w:rsidRDefault="002F56A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13387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.2.1. </w:t>
      </w:r>
      <w:r w:rsidR="00BD0380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к бухгалтерскому учету основных средств осуществляется МКУ «ЦОД»  на основании решения комисси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D0380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по поступлению и выбытию активов.</w:t>
      </w:r>
    </w:p>
    <w:p w:rsidR="001742C3" w:rsidRPr="001A36A1" w:rsidRDefault="002F56A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13387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Материальные объекты имущества, независимо от их стоимости, со сроком полезного использования более 12 месяцев, предназначенные для неоднократного или постоянного использования на праве оперативного управления в процессе деятельности учреждения при выполнении им работ, оказании услуг, осуществления государственных полномочий (функций) либо для управленческих нужд учреждения, находящиеся в эксплуатации, запасе, на консервации, сданные в аренду, полученные в лизинг (</w:t>
      </w:r>
      <w:proofErr w:type="spellStart"/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сублизинг</w:t>
      </w:r>
      <w:proofErr w:type="spellEnd"/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принимаются к учету в</w:t>
      </w:r>
      <w:proofErr w:type="gramEnd"/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</w:t>
      </w:r>
      <w:proofErr w:type="gramEnd"/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средств.</w:t>
      </w:r>
    </w:p>
    <w:p w:rsidR="001742C3" w:rsidRPr="001A36A1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Учет основных средств осуществляется по материально ответственным лицам.</w:t>
      </w:r>
      <w:r w:rsidR="00513387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Ответственными за хранение технической и другой документации основных средств являются материально ответственные лица, за которыми закреплены основные средства.</w:t>
      </w:r>
      <w:r w:rsidR="00513387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объектам основных средств, по которым производителем (поставщиком) предусмотрен гарантийный срок, хранению у материально ответственных лиц подлежат также гарантийные талоны.</w:t>
      </w:r>
    </w:p>
    <w:p w:rsidR="001742C3" w:rsidRPr="001A36A1" w:rsidRDefault="002F56A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13387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Учет находящихся в эксплуатации  объектов основных сре</w:t>
      </w:r>
      <w:proofErr w:type="gramStart"/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ст</w:t>
      </w:r>
      <w:proofErr w:type="gramEnd"/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оимостью до 10 000 руб. включительно, за исключением объектов библиотечного фонда и объектов недвижимого имущества в целях обеспечения надлежащего контроля за их движением, осуществляется на основании первичного документа, подтверждающего ввод объекта в эксплуатацию, по балансовой стоимости введенного в эксплуатацию объекта.</w:t>
      </w:r>
    </w:p>
    <w:p w:rsidR="001742C3" w:rsidRPr="001A36A1" w:rsidRDefault="002F56A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13387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организации учета и обеспечения </w:t>
      </w:r>
      <w:proofErr w:type="gramStart"/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1742C3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сохранностью основных средств каждому объекту свыше 10 000 руб., кроме библиотечных фондов,  независимо от того, находится ли он в эксплуатации, в запасе или на консервации, присваивается уникальный инвентарный порядковый номер, который состоит из десяти разрядов:</w:t>
      </w:r>
    </w:p>
    <w:p w:rsidR="001742C3" w:rsidRPr="001A36A1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разряд - код деятельности;</w:t>
      </w:r>
    </w:p>
    <w:p w:rsidR="001742C3" w:rsidRPr="001A36A1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2 - 4  разряд</w:t>
      </w:r>
      <w:r w:rsidR="002F56A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код синтетического счета Плана счетов бюджетного учета;</w:t>
      </w:r>
    </w:p>
    <w:p w:rsidR="001742C3" w:rsidRPr="001742C3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>5 - 6  разряд</w:t>
      </w:r>
      <w:r w:rsidR="002F56A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код аналитического счета Плана счетов</w:t>
      </w:r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учета;</w:t>
      </w:r>
    </w:p>
    <w:p w:rsidR="001742C3" w:rsidRPr="001742C3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7 - 10 разряд</w:t>
      </w:r>
      <w:r w:rsidR="002F56A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порядковый номер нефинансового актива.</w:t>
      </w:r>
    </w:p>
    <w:p w:rsidR="001742C3" w:rsidRPr="001742C3" w:rsidRDefault="00513387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Присвоенный объекту инвентарный номер обозначается материально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маркером.</w:t>
      </w:r>
    </w:p>
    <w:p w:rsidR="001742C3" w:rsidRPr="001742C3" w:rsidRDefault="00513387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="002F56A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объект является сложным (комплексом конструктивно сочлененных предметов), инвентарный номер обозначается на каждом составляющем элементе тем же способом, что и на сложном объекте.</w:t>
      </w:r>
    </w:p>
    <w:p w:rsidR="001742C3" w:rsidRPr="001742C3" w:rsidRDefault="00513387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невозможности обозначения инвентарного номера на объекте основных сре</w:t>
      </w:r>
      <w:proofErr w:type="gramStart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сл</w:t>
      </w:r>
      <w:proofErr w:type="gramEnd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учаях, определенных требованиями его эксплуатации, присвоенный  ему инвентарный номер применяется в целях бухгалтерского учета с отражением в соответствующих регистрах бухгалтерского учета без нанесения на объект основного средства.</w:t>
      </w:r>
    </w:p>
    <w:p w:rsidR="001742C3" w:rsidRPr="001742C3" w:rsidRDefault="00513387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 и системный блок считается как отдельный инвентарный объе</w:t>
      </w:r>
      <w:proofErr w:type="gramStart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с пр</w:t>
      </w:r>
      <w:proofErr w:type="gramEnd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исвоением отдельного инвентарного номера.</w:t>
      </w:r>
    </w:p>
    <w:p w:rsidR="001742C3" w:rsidRPr="001742C3" w:rsidRDefault="0060385B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038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один инвентарный объект, признаваемый комплексом объектов основных средств, объединяются объекты имущества несущественной стоимости, имеющие одинаковые сроки полезного и ожидаемого использования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Приобретенный компьютер в сборе </w:t>
      </w:r>
      <w:proofErr w:type="gramStart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учитывается</w:t>
      </w:r>
      <w:proofErr w:type="gramEnd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единый инвентарный объект в его составные части входит:</w:t>
      </w:r>
    </w:p>
    <w:p w:rsidR="001742C3" w:rsidRPr="001742C3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системный блок;</w:t>
      </w:r>
    </w:p>
    <w:p w:rsidR="001742C3" w:rsidRPr="001742C3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монитор;</w:t>
      </w:r>
    </w:p>
    <w:p w:rsidR="001742C3" w:rsidRPr="001742C3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клавиатура;</w:t>
      </w:r>
    </w:p>
    <w:p w:rsidR="001742C3" w:rsidRPr="001742C3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- мышь.</w:t>
      </w:r>
    </w:p>
    <w:p w:rsidR="001742C3" w:rsidRPr="001742C3" w:rsidRDefault="002F56A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133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Учет основных средств на соответствующих счетах Плана счетов бюджетного учета ведется в соответствии с требованиями Общероссийского классификатора основных фондов </w:t>
      </w:r>
      <w:proofErr w:type="gramStart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013-2014, утвержденного приказом </w:t>
      </w:r>
      <w:proofErr w:type="spellStart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Росстандарта</w:t>
      </w:r>
      <w:proofErr w:type="spellEnd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12.12.2014 № 2018-ст.</w:t>
      </w:r>
    </w:p>
    <w:p w:rsidR="001742C3" w:rsidRPr="001742C3" w:rsidRDefault="002F56A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133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полезного использования объектов основных средств устанавливает бухгалтер, ответственный за учет основных средств, на основе:</w:t>
      </w:r>
    </w:p>
    <w:p w:rsidR="001742C3" w:rsidRPr="001742C3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информации, содержащейся в Общероссийском классификаторе основных фондов </w:t>
      </w:r>
      <w:proofErr w:type="gramStart"/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013-2014;</w:t>
      </w:r>
    </w:p>
    <w:p w:rsidR="001742C3" w:rsidRPr="001742C3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рекомендаций, содержащихся в документах производителя - при отсутствии объекта в Общероссийском классификаторе.</w:t>
      </w:r>
    </w:p>
    <w:p w:rsidR="001742C3" w:rsidRPr="001742C3" w:rsidRDefault="00513387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такая информация отсутствует, решение о сроке принимает комиссия по поступлению и выбытию активов с учетом:</w:t>
      </w:r>
    </w:p>
    <w:p w:rsidR="001742C3" w:rsidRPr="001742C3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ожидаемого срока использования и физического износа объекта;</w:t>
      </w:r>
    </w:p>
    <w:p w:rsidR="001742C3" w:rsidRPr="001742C3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- гарантийного срока использования;</w:t>
      </w:r>
    </w:p>
    <w:p w:rsidR="001742C3" w:rsidRPr="001742C3" w:rsidRDefault="001742C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сроков фактической эксплуатации и ранее начисленной амортизации - для безвозмездно полученных объектов.</w:t>
      </w:r>
    </w:p>
    <w:p w:rsidR="001742C3" w:rsidRPr="001742C3" w:rsidRDefault="00513387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объектов, включенных в амортизационные группы с первой по девятую, срок полезного использования определяется по наибольшему сроку, указанному в Постановлении Правительства Российской Федерации от 01.01.200</w:t>
      </w:r>
      <w:r w:rsidR="00AE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№ 1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от 07.07.2016) «О Классификации основных средств, включаемых в амортизационные группы».</w:t>
      </w:r>
    </w:p>
    <w:p w:rsidR="001742C3" w:rsidRPr="001742C3" w:rsidRDefault="00513387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объектам, включенным в десятую амортизационную группу, срок полезного использования рассчитывается исходя из единых норм, утвержденных постановлением Совета Министров СССР от 22.10.1990  № 1072 «О единых нормах амортизационных отчислений на полное восстановление основных фондов народного хозяйства СССР».</w:t>
      </w:r>
    </w:p>
    <w:p w:rsidR="001742C3" w:rsidRPr="001742C3" w:rsidRDefault="00846EB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133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A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Начисление амортизации объекта основных сре</w:t>
      </w:r>
      <w:proofErr w:type="gramStart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 w:rsidR="00DC5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оизводится линейным методом. </w:t>
      </w:r>
    </w:p>
    <w:p w:rsidR="001742C3" w:rsidRPr="001742C3" w:rsidRDefault="00846EB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133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Начисление амортизации объекта основных средств не приостанавливается в случаях, когда объект основных сре</w:t>
      </w:r>
      <w:proofErr w:type="gramStart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 w:rsidR="00DC5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остаивает или не используется или удерживается для последующей передачи (списания), за исключением случая, когда остаточная стоимость объекта основных средств стала равной нулю.</w:t>
      </w:r>
    </w:p>
    <w:p w:rsidR="001742C3" w:rsidRPr="001742C3" w:rsidRDefault="00846EB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1338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Основные средства стоимостью до 10 000 руб. включительно, находящиеся в эксплуатации, учитываются на одноименном </w:t>
      </w:r>
      <w:proofErr w:type="spellStart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забалансовом</w:t>
      </w:r>
      <w:proofErr w:type="spellEnd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счете 21 по балансовой стоимости.</w:t>
      </w:r>
    </w:p>
    <w:p w:rsidR="001742C3" w:rsidRPr="001742C3" w:rsidRDefault="00846EB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1338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Выбытие инвентарных объектов основных средств, в том числе объектов движимого имущества стоимостью до 10 000 руб. включительно, учитываемых на </w:t>
      </w:r>
      <w:proofErr w:type="spellStart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забалансовом</w:t>
      </w:r>
      <w:proofErr w:type="spellEnd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счете, отражается на основании решения комиссии по поступлению и выбытию активов, оформленного в установленном порядке соответствующим первичным учетным документом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(Актом). При списании оборудования по причине непригодности их к дальнейшей эксплуатации составляется акт технической экспертизы.</w:t>
      </w:r>
    </w:p>
    <w:p w:rsidR="001742C3" w:rsidRPr="001742C3" w:rsidRDefault="00846EB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.2.1</w:t>
      </w:r>
      <w:r w:rsidR="005133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 на доставку объекта основного средства включаются в его первоначальную стоимость. Расходы на доставку нескольких имущественных объектов учитываются в стоимости пропорционально стоимости каждого объекта.</w:t>
      </w:r>
    </w:p>
    <w:p w:rsidR="001742C3" w:rsidRPr="001742C3" w:rsidRDefault="00846EB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.2.1</w:t>
      </w:r>
      <w:r w:rsidR="005133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поступлении в учреждение материальных ценностей (в том числе основных средств, материальных запасов)</w:t>
      </w:r>
      <w:r w:rsidR="00BF2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первичных учетных 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предусмотренных условиями договора (контракта) отгрузочных документов, оформленных надлежащим образом, является достаточным основанием для принятия к учету материальных ценностей. При этом оформление дополнительного первичного учетного документа не обязательно.</w:t>
      </w:r>
    </w:p>
    <w:p w:rsidR="001742C3" w:rsidRPr="001742C3" w:rsidRDefault="00846EB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.2.1</w:t>
      </w:r>
      <w:r w:rsidR="00283A1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Акт о приеме - передаче объектов нефинансовых активов (ф. 0504101) составляется в случае передачи нефинансовых активов учреждениям и организациям (иным правообладателям).</w:t>
      </w:r>
    </w:p>
    <w:p w:rsidR="001742C3" w:rsidRDefault="00846EB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.2.1</w:t>
      </w:r>
      <w:r w:rsidR="00283A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Одновременно с принятием к учету основных средств и нематериальных активов при их приобретении (изготовлении), по которым сформирована первоначальная (фактическая) стоимость, объекты вводятся  в эксплуатацию. </w:t>
      </w:r>
    </w:p>
    <w:p w:rsidR="00AE3ABE" w:rsidRPr="00717165" w:rsidRDefault="00DC5921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4.2.15. </w:t>
      </w:r>
      <w:r w:rsidR="00AE3ABE"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по замене отдельных составных частей комплекса конструктивно-сочлененных предметов, в том числе при капитальном ремонте, включаются в момент их возникновения в стоимость объекта. Одновременно с его стоимости списывается в текущие расходы стоимость заменяемых (</w:t>
      </w:r>
      <w:proofErr w:type="spellStart"/>
      <w:r w:rsidR="00AE3ABE"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выбываемых</w:t>
      </w:r>
      <w:proofErr w:type="spellEnd"/>
      <w:r w:rsidR="00AE3ABE"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составных частей. Данное правило применяется к следующим группам основных средств:</w:t>
      </w:r>
    </w:p>
    <w:p w:rsidR="00AE3ABE" w:rsidRPr="00717165" w:rsidRDefault="0088018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ABE"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машины и оборудование;</w:t>
      </w:r>
    </w:p>
    <w:p w:rsidR="00AE3ABE" w:rsidRPr="00717165" w:rsidRDefault="0088018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ABE"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транспортные средства;</w:t>
      </w:r>
    </w:p>
    <w:p w:rsidR="00BD0380" w:rsidRPr="00717165" w:rsidRDefault="0088018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ABE"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инвентарь производственный и хозяйственный</w:t>
      </w:r>
      <w:r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6584" w:rsidRPr="00717165" w:rsidRDefault="00DC5921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4.2.16. </w:t>
      </w:r>
      <w:r w:rsidR="00C66584"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создание активов при проведении регулярных осмотров на предмет наличия дефектов, являющихся обязательным условием их эксплуатации, а также при проведении ремонтов (модернизаций, </w:t>
      </w:r>
      <w:proofErr w:type="spellStart"/>
      <w:r w:rsidR="00C66584"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дооборудований</w:t>
      </w:r>
      <w:proofErr w:type="spellEnd"/>
      <w:r w:rsidR="00C66584"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реконструкций, в том числе с элементами реставраций, технических перевооружений) формируют объем капитальных вложений с дальнейшим признанием в стоимости объекта основных средств.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амортизации. Данное правило применяется к следующим группам основных средств:</w:t>
      </w:r>
    </w:p>
    <w:p w:rsidR="00C66584" w:rsidRPr="00717165" w:rsidRDefault="0088018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66584"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нежилые помещения (здания и сооружения);</w:t>
      </w:r>
    </w:p>
    <w:p w:rsidR="00C66584" w:rsidRPr="00717165" w:rsidRDefault="0088018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66584"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машины и оборудование;</w:t>
      </w:r>
    </w:p>
    <w:p w:rsidR="00C66584" w:rsidRPr="001742C3" w:rsidRDefault="00880187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66584"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транспортные средства</w:t>
      </w:r>
      <w:r w:rsidRPr="007171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936" w:rsidRDefault="0041030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.2.1</w:t>
      </w:r>
      <w:r w:rsidR="00C437F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Переоценка основных сре</w:t>
      </w:r>
      <w:proofErr w:type="gramStart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1742C3" w:rsidRPr="001742C3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оизводится  в сроки и в порядке, устанавливаемые Правительством Российской Федерации.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936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переоценке объекта основных средств накопленная амортизация на дату </w:t>
      </w:r>
      <w:r w:rsidR="00386936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переоценки пересчитывается пропорционально изменению первоначальной стоимости объекта таким образом, чтобы его остаточная стоимость после переоценки равнялась его переоцененной стоимости. При этом балансовая стоимость и накопленная амортизация увеличиваются (умножаются) на одинаковый коэффициент таким образом, чтобы при их суммировании получить переоцененную стоимость на дату проведения переоценки</w:t>
      </w:r>
      <w:r w:rsidR="00386936" w:rsidRPr="004103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42C3" w:rsidRPr="001A36A1" w:rsidRDefault="0041030B" w:rsidP="00A557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7B16">
        <w:rPr>
          <w:rFonts w:ascii="Times New Roman" w:eastAsia="Times New Roman" w:hAnsi="Times New Roman" w:cs="Times New Roman"/>
          <w:sz w:val="28"/>
          <w:szCs w:val="28"/>
          <w:lang w:eastAsia="ru-RU"/>
        </w:rPr>
        <w:t>.2.1</w:t>
      </w:r>
      <w:r w:rsidR="00C437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47B16" w:rsidRPr="001A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47B16" w:rsidRPr="001A36A1">
        <w:rPr>
          <w:rFonts w:ascii="Times New Roman" w:hAnsi="Times New Roman" w:cs="Times New Roman"/>
          <w:sz w:val="28"/>
          <w:szCs w:val="28"/>
        </w:rPr>
        <w:t xml:space="preserve">Земельные участки, используемые </w:t>
      </w:r>
      <w:r w:rsidR="001A36A1" w:rsidRPr="001A36A1">
        <w:rPr>
          <w:rFonts w:ascii="Times New Roman" w:hAnsi="Times New Roman" w:cs="Times New Roman"/>
          <w:sz w:val="28"/>
          <w:szCs w:val="28"/>
        </w:rPr>
        <w:t>У</w:t>
      </w:r>
      <w:r w:rsidR="00147B16" w:rsidRPr="001A36A1">
        <w:rPr>
          <w:rFonts w:ascii="Times New Roman" w:hAnsi="Times New Roman" w:cs="Times New Roman"/>
          <w:sz w:val="28"/>
          <w:szCs w:val="28"/>
        </w:rPr>
        <w:t xml:space="preserve">чреждениями на праве постоянного (бессрочного) пользования (в том числе расположенные под объектами недвижимости), а также земельные участки, на которые государственная собственность не разграничена, вовлекаемые уполномоченными органами власти (органами местного самоуправления) в хозяйственный оборот, сведения о которых внесены в Единый государственный реестр недвижимости, учитываются на соответствующем счете аналитического учета счета </w:t>
      </w:r>
      <w:r w:rsidR="00BF2B30">
        <w:rPr>
          <w:rFonts w:ascii="Times New Roman" w:hAnsi="Times New Roman" w:cs="Times New Roman"/>
          <w:sz w:val="28"/>
          <w:szCs w:val="28"/>
        </w:rPr>
        <w:t>1</w:t>
      </w:r>
      <w:r w:rsidR="00841A14">
        <w:rPr>
          <w:rFonts w:ascii="Times New Roman" w:hAnsi="Times New Roman" w:cs="Times New Roman"/>
          <w:sz w:val="28"/>
          <w:szCs w:val="28"/>
        </w:rPr>
        <w:t> </w:t>
      </w:r>
      <w:r w:rsidR="00147B16" w:rsidRPr="001A36A1">
        <w:rPr>
          <w:rFonts w:ascii="Times New Roman" w:hAnsi="Times New Roman" w:cs="Times New Roman"/>
          <w:sz w:val="28"/>
          <w:szCs w:val="28"/>
        </w:rPr>
        <w:t>103</w:t>
      </w:r>
      <w:r w:rsidR="00841A14">
        <w:rPr>
          <w:rFonts w:ascii="Times New Roman" w:hAnsi="Times New Roman" w:cs="Times New Roman"/>
          <w:sz w:val="28"/>
          <w:szCs w:val="28"/>
        </w:rPr>
        <w:t xml:space="preserve"> </w:t>
      </w:r>
      <w:r w:rsidR="00147B16" w:rsidRPr="001A36A1">
        <w:rPr>
          <w:rFonts w:ascii="Times New Roman" w:hAnsi="Times New Roman" w:cs="Times New Roman"/>
          <w:sz w:val="28"/>
          <w:szCs w:val="28"/>
        </w:rPr>
        <w:t>00 "Непроизведенные активы" на основании документов</w:t>
      </w:r>
      <w:proofErr w:type="gramEnd"/>
      <w:r w:rsidR="00147B16" w:rsidRPr="001A36A1">
        <w:rPr>
          <w:rFonts w:ascii="Times New Roman" w:hAnsi="Times New Roman" w:cs="Times New Roman"/>
          <w:sz w:val="28"/>
          <w:szCs w:val="28"/>
        </w:rPr>
        <w:t>, подтверждающих права пользования земельными участками (выписок из Единого государственного реестра недвижимости о соответствующем земельном участке), по их кадастровой стоимости, а при отсутствии кадастровой стоимости земельного участка - в условной оценке, один квадратный метр - 1 рубль.</w:t>
      </w:r>
    </w:p>
    <w:p w:rsidR="00171EF3" w:rsidRDefault="00171EF3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936" w:rsidRPr="0093437F" w:rsidRDefault="0041030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4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5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.3. Нематериальные активы</w:t>
      </w:r>
    </w:p>
    <w:p w:rsidR="00386936" w:rsidRPr="00386936" w:rsidRDefault="0041030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.3.1.  Объект нематериальных активов принимается к бухгалтерскому учету с момента его признания по первоначальной стоимости.</w:t>
      </w:r>
    </w:p>
    <w:p w:rsidR="00386936" w:rsidRPr="00386936" w:rsidRDefault="00386936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Объект нефинансовых активов подлежит признанию в бухгалтерском учете в составе группы нематериальных активов при условии, что субъектом учета прогнозируется получение экономических выгод или полезного потенциала от его использования и первоначальную стоимость такого объекта можно надежно оценить.</w:t>
      </w:r>
    </w:p>
    <w:p w:rsidR="00386936" w:rsidRPr="00386936" w:rsidRDefault="0038693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 нематериальных активов признается в бухгалтерском учете того субъекта учета, который фактически использует (вправе использовать) указанный актив, как закрепленный за ним собственником (учредителем), так и полученный в ходе финансово-хозяйственной деятельности.</w:t>
      </w:r>
    </w:p>
    <w:p w:rsidR="00386936" w:rsidRPr="00386936" w:rsidRDefault="00386936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4103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.3.2. Актив культурного наследия признается в составе группы нематериальных  активов в соответствии с требованиями СГС «Нематериальные активы» в случае, если субъект учета имеет возможность получить будущие экономические выгоды или полезный потенциал, связанный с указанным активом, либо если его полезный потенциал не ограничивается его культурной ценностью.  В иных случаях активы культурного наследия в бухгалтерском учете не отражаются, информация о них раскрывается в годовой бухгалтерской (финансовой) отчетности.</w:t>
      </w:r>
    </w:p>
    <w:p w:rsidR="00386936" w:rsidRPr="00386936" w:rsidRDefault="0041030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.3.3. Единицей бухгалтерского учета объекта нематериальных активов является инвентарный объект.</w:t>
      </w:r>
    </w:p>
    <w:p w:rsidR="00386936" w:rsidRPr="00386936" w:rsidRDefault="00283A1A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proofErr w:type="gramStart"/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Инвентарным объектом нематериальных активов признается совокупность прав на результаты интеллектуальной деятельности (средства индивидуализации) согласно патенту, свидетельству и (или) возникающих 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из договора (государственного (муниципального) контракта), иного правоустанавливающего документа, подтверждающего создание, приобретение (отчуждение) в пользу  Российской Федерации, субъекта Российской Федерации, муниципального образования, государственного (муниципального) учреждения прав на результаты интеллектуальной деятельности (на средства индивидуализации).</w:t>
      </w:r>
      <w:proofErr w:type="gramEnd"/>
    </w:p>
    <w:p w:rsidR="00386936" w:rsidRPr="00386936" w:rsidRDefault="0038693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качестве одного инвентарного объекта нематериальных активов признаются объекты, включающие несколько охраняемых результатов интеллектуальной деятельности (кинофильм, иное аудиовизуальное произведение, театрально-зрелищное представление, мультимедийный продукт, единая технология, иные аналогичные объекты).</w:t>
      </w:r>
    </w:p>
    <w:p w:rsidR="00386936" w:rsidRPr="00386936" w:rsidRDefault="00386936" w:rsidP="00086C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Каждому инвентарному объекту нематериальных активов присваивается уникальный инвентарный номер.</w:t>
      </w:r>
    </w:p>
    <w:p w:rsidR="00386936" w:rsidRPr="00386936" w:rsidRDefault="00386936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Инвентарный номер, присвоенный объекту нематериального актива, сохраняется за ним на весь период его учета. Инвентарные номера выбывших (списанных) инвентарных объектов нематериальных активов вновь принятым к бухгалтерскому учету объектам нефинансовых активов не присваиваются. </w:t>
      </w:r>
    </w:p>
    <w:p w:rsidR="00386936" w:rsidRPr="00386936" w:rsidRDefault="0041030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.3.4. Амортизация начисляется по объектам нематериальных активов с определенным сроком полезного использования линейным методом.</w:t>
      </w:r>
    </w:p>
    <w:p w:rsidR="00386936" w:rsidRPr="00386936" w:rsidRDefault="0038693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объектам нематериальных активов, с неопределенным сроком полезного использования, амортизация не начисляется до момента их </w:t>
      </w:r>
      <w:proofErr w:type="spellStart"/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реклассификации</w:t>
      </w:r>
      <w:proofErr w:type="spellEnd"/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подгруппу объектов нематериальных активов с определенным сроком полезного использования.</w:t>
      </w:r>
    </w:p>
    <w:p w:rsidR="00386936" w:rsidRPr="00386936" w:rsidRDefault="0041030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283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.3.5.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Неисключительные права пользования нематериальными активами со сроком использования более года учитываются на счете </w:t>
      </w:r>
      <w:r w:rsidR="00841A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111</w:t>
      </w:r>
      <w:r w:rsidR="00841A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 «Право пользования нематериальными активами», списываются на расходы через амортизацию.</w:t>
      </w:r>
    </w:p>
    <w:p w:rsidR="001742C3" w:rsidRDefault="00386936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Неисключительные права пользования нематериальными активами со сроком использования менее года учитываются  в составе расходов будущих периодов или текущих расходов в зависимости от условий договора.</w:t>
      </w:r>
    </w:p>
    <w:p w:rsidR="00B8595D" w:rsidRDefault="00B8595D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936" w:rsidRPr="0093437F" w:rsidRDefault="0041030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4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386936" w:rsidRPr="00934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.4.   Материальные запасы</w:t>
      </w:r>
    </w:p>
    <w:p w:rsidR="00386936" w:rsidRPr="00386936" w:rsidRDefault="0041030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.4.1. В составе материальных запасов учитываются материальные объекты, указанные в пунктах 98-99 Инструкции к </w:t>
      </w:r>
      <w:r w:rsidR="005D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Приказу 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157н, а также:</w:t>
      </w:r>
    </w:p>
    <w:p w:rsidR="00386936" w:rsidRPr="00386936" w:rsidRDefault="0038693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канцелярские принадлежности, хозяйственные товары, для которых производитель не указал в документах гарантийный срок использования;</w:t>
      </w:r>
    </w:p>
    <w:p w:rsidR="00386936" w:rsidRPr="00386936" w:rsidRDefault="0038693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комплектующие узлы и детали для дальнейшей сборки компьютерной техники.</w:t>
      </w:r>
    </w:p>
    <w:p w:rsidR="00386936" w:rsidRPr="00386936" w:rsidRDefault="00283A1A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9C5344" w:rsidRPr="009C5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Единица учета материальных запасов в </w:t>
      </w:r>
      <w:r w:rsidR="009C5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9C5344" w:rsidRPr="009C5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чреждени</w:t>
      </w:r>
      <w:r w:rsidR="009C5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ях</w:t>
      </w:r>
      <w:r w:rsidR="009C5344" w:rsidRPr="009C5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номенклатурная (реестровая) единица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86936" w:rsidRPr="00386936" w:rsidRDefault="00283A1A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Аналитический учет материальных запасов ведется по их видам, наименованиям, сортам и количеству в разрезе материально ответственных лиц.</w:t>
      </w:r>
    </w:p>
    <w:p w:rsidR="00386936" w:rsidRPr="00386936" w:rsidRDefault="0041030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.4.2 Списание материальных запасов при выдаче в эксплуатации осуществляется </w:t>
      </w:r>
      <w:proofErr w:type="gramStart"/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86936" w:rsidRPr="00386936" w:rsidRDefault="0038693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фактической стоимости каждой единицы (материальные запасы однократного применения);</w:t>
      </w:r>
    </w:p>
    <w:p w:rsidR="00386936" w:rsidRPr="00386936" w:rsidRDefault="0038693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средней стоимости материальных запасов (прочие материальные запасы).</w:t>
      </w:r>
    </w:p>
    <w:p w:rsidR="00386936" w:rsidRPr="00386936" w:rsidRDefault="0041030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.4.3. Исходя из пункта 10 СГС «Обесценение активов», решение о необходимости определения справедливой стоимости актива принимается субъектом учета в случае выявления признаков обесценения актива, которые ранее не являлись основанием для признания обесценения актива, с учетом существенности влияния на нее выявленных признаков обесценения.</w:t>
      </w:r>
    </w:p>
    <w:p w:rsidR="00386936" w:rsidRPr="00386936" w:rsidRDefault="0038693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Таким образом, для признания в бюджетном учете обесценения актива требуется анализ наличия признаков, указывающих на возможное существенное обесценение актива. При этом под обесценением понимается снижение ценности самого актива и возможности его полезного использования, </w:t>
      </w:r>
      <w:proofErr w:type="gramStart"/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зависящее</w:t>
      </w:r>
      <w:proofErr w:type="gramEnd"/>
      <w:r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от целей использования актива и условий деятельности, а не от каких-либо показателей деятельности субъекта учета в целом</w:t>
      </w:r>
    </w:p>
    <w:p w:rsidR="00386936" w:rsidRPr="00386936" w:rsidRDefault="0041030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.4.4. Выдача на нужды учреждения канцелярских принадлежностей, запасных частей, расходных  и хозяйственных материалов оформляется Ведомостью выдачи материальных ценностей на нужды </w:t>
      </w:r>
      <w:r w:rsidR="009C5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чреждени</w:t>
      </w:r>
      <w:r w:rsidR="009C5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742C3" w:rsidRPr="00386936" w:rsidRDefault="00283A1A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Мягкий и хозяйственный инвентарь, посуда списываются по Акту о списании мягкого и хозяйственного инвентаря (ф. 0504143).</w:t>
      </w:r>
      <w:r w:rsidR="004103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86936" w:rsidRPr="00386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остальных случаях материальные запасы списываются по акту о списании материальных запасов (ф. 0504230).</w:t>
      </w:r>
    </w:p>
    <w:p w:rsidR="00DC4B96" w:rsidRPr="00DC4B96" w:rsidRDefault="0041030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3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.4.5. 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Горюче-смазочные материалы (ГСМ) списываются на основании путевых листов. Оформленные в установленном порядке путевые листы за отчетный период и отчет о расходе топлива, предусмотренный  </w:t>
      </w:r>
      <w:r w:rsidR="00DC4B96" w:rsidRPr="00CC5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</w:t>
      </w:r>
      <w:r w:rsidR="00302A2A" w:rsidRPr="00CC50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сдаются в </w:t>
      </w:r>
      <w:r w:rsid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«ЦОД»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дальнейшей обработки. При заполнении путевых листов в части данных по движению и расходу топлива округление чисел не допускается. Исправления в путевых листах возможны по согласованию с участниками хозяйственных операций, что должно быть подтверждено подписями тех же лиц, которые подписали документы, с указанием даты внесения изменений. Исправление нормы расхода топлива должно быть подтверждено подписью водителя и механика (или иного уполномоченного лица).</w:t>
      </w:r>
    </w:p>
    <w:p w:rsidR="00DC4B96" w:rsidRPr="00DC4B96" w:rsidRDefault="00283A1A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Фактический расход топлива определяется на основании данных о пробеге автомобиля с применением норм расхода ГСМ, установленных для соответствующей марки автомобиля с учетом надбавок, утвержденных </w:t>
      </w:r>
      <w:r w:rsidR="00513CD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нормативно-правовым актом Учреждений.</w:t>
      </w:r>
    </w:p>
    <w:p w:rsidR="00DC4B96" w:rsidRPr="00DC4B96" w:rsidRDefault="00DC4B96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Письму Минюста РФ от 21.09.2009 № 03-2609, документом, определяющим порядок при установлении норм расхода ГСМ,  является Распоряжение Министерства транспорта Российской Федерации от 14 марта 2008 г. N АМ-23-р «О введении в действие методических рекомендаций «Нормы расхода топлив и смазочных материалов на автомобильном транспорте». </w:t>
      </w:r>
    </w:p>
    <w:p w:rsidR="00DC4B96" w:rsidRPr="00DC4B96" w:rsidRDefault="00984BBB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автомобилей, для которых нормы расхода топлива и смазочных материалов не утверждены, при определении норм расхода топлива руководствуется соответствующей технической документацией и (или) информацией, предоставляемой изготовителем автомобиля. </w:t>
      </w:r>
    </w:p>
    <w:p w:rsidR="00DC4B96" w:rsidRPr="00DC4B96" w:rsidRDefault="00D347E2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3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.4.6. 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Шины, приобретаемые организацией для установки на автомобили, учитываются в качестве запасных частей на счете 105 “Материальные запасы“.</w:t>
      </w:r>
    </w:p>
    <w:p w:rsidR="00D347E2" w:rsidRDefault="00283A1A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Письму Минюста РФ от 21.09.2009 № 03-2609, документом, определяющим порядок обслуживания и эксплуатации автомобильных шин, являются Правила эксплуатации автомобильных шин (АЭ 001-04), утвержденные Распоряжением Минтранса РФ от 21.01.2004 № АК-9</w:t>
      </w:r>
      <w:r w:rsidR="00841A1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41A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4B96" w:rsidRPr="00DC4B96" w:rsidRDefault="00DC4B9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 автомобильных шин может происходить вследствие их износа, порчи, так и при изменении погодных условий.</w:t>
      </w:r>
    </w:p>
    <w:p w:rsidR="00DC4B96" w:rsidRPr="00DC4B96" w:rsidRDefault="00DC4B9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Списание шин </w:t>
      </w:r>
      <w:r w:rsidRPr="00CC5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по ведомости установки запасных частей к автотранспорту согласно Приложению </w:t>
      </w:r>
      <w:r w:rsidR="00CC50B8" w:rsidRPr="00CC50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C50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последующим отражением на </w:t>
      </w:r>
      <w:proofErr w:type="spellStart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забалансовом</w:t>
      </w:r>
      <w:proofErr w:type="spellEnd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счете 09 «Запасные части к транспортным средствам, выданные взамен изношенных» с целью осуществления </w:t>
      </w:r>
      <w:proofErr w:type="gramStart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движением автомобильных шин. Стоимость шин, установленных на автомобиль, списывается с </w:t>
      </w:r>
      <w:proofErr w:type="spellStart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забалансового</w:t>
      </w:r>
      <w:proofErr w:type="spellEnd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счета в соответствии с их пробегом </w:t>
      </w:r>
      <w:proofErr w:type="gramStart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="00513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используемых</w:t>
      </w:r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</w:t>
      </w:r>
      <w:r w:rsidR="00513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акту о списании материальных запасов.</w:t>
      </w:r>
    </w:p>
    <w:p w:rsidR="00DC4B96" w:rsidRPr="00DC4B96" w:rsidRDefault="00D347E2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3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.4.7. 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Автомобильные аккумуляторы, приобретаемые для установки на автомобили, учитываются в качестве запасных частей на счете 105 “Материальные запасы“.</w:t>
      </w:r>
    </w:p>
    <w:p w:rsidR="00DC4B96" w:rsidRPr="00DC4B96" w:rsidRDefault="00DC4B9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Письму Минюста РФ от 21.09.2009 № 03-2609, документом, определяющим нормы сроков службы стартерных свинцово-кислотных аккумуляторных батарей автотранспортных средств и автопогрузчиков</w:t>
      </w:r>
      <w:r w:rsidR="00D347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РД-3112199-1089-02, </w:t>
      </w:r>
      <w:proofErr w:type="gramStart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</w:t>
      </w:r>
      <w:proofErr w:type="gramEnd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Минтрансом России 26.09.2002.</w:t>
      </w:r>
    </w:p>
    <w:p w:rsidR="00DC4B96" w:rsidRPr="00DC4B96" w:rsidRDefault="00DC4B9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Замена аккумуляторов на автомобиле может происходить </w:t>
      </w:r>
      <w:proofErr w:type="gramStart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следстви</w:t>
      </w:r>
      <w:r w:rsidR="00841A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износа, порчи. Списание аккумуляторов осуществляется по ведомости установки запасных частей к автотранспорту, с последующим отражением на </w:t>
      </w:r>
      <w:proofErr w:type="spellStart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забалансовом</w:t>
      </w:r>
      <w:proofErr w:type="spellEnd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счете 09 «Запасные части к транспортным средствам, выданные взамен изношенных» с целью осуществления контроля. Стоимость аккумуляторов, установленных на автомобиль, списывается с </w:t>
      </w:r>
      <w:proofErr w:type="spellStart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забалансового</w:t>
      </w:r>
      <w:proofErr w:type="spellEnd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счета по акту о списании материальных запасов.</w:t>
      </w:r>
    </w:p>
    <w:p w:rsidR="00DC4B96" w:rsidRPr="00DC4B96" w:rsidRDefault="00D347E2" w:rsidP="00A557B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.4.8. 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Списание прочих запасных частей к автотранспорту осуществляется по ведомости установки запасных частей к автотранспорту, 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требования-накладной, ведомости на выдачи материалов на нужды учреждения.</w:t>
      </w:r>
    </w:p>
    <w:p w:rsidR="00DC4B96" w:rsidRPr="00DC4B96" w:rsidRDefault="00DF6AC5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.4.9.  </w:t>
      </w:r>
      <w:proofErr w:type="gramStart"/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материальных запасов (предметов специальной одежды, специальной обуви и др. средств индивидуальной защиты) работникам (сотрудникам) учреждения в личное пользование для выполнения ими служебных (должностных) обязанностей </w:t>
      </w:r>
      <w:r w:rsidR="00DC4B96" w:rsidRPr="00CC5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по ведомости выдачи специальной одежды, предусмотренной Приложением </w:t>
      </w:r>
      <w:r w:rsidR="00CC50B8" w:rsidRPr="00CC50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C4B96" w:rsidRPr="00CC5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одновременным отражением на </w:t>
      </w:r>
      <w:proofErr w:type="spellStart"/>
      <w:r w:rsidR="00DC4B96" w:rsidRPr="00CC50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забалансовом</w:t>
      </w:r>
      <w:proofErr w:type="spellEnd"/>
      <w:r w:rsidR="00DC4B96" w:rsidRPr="00CC5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счете 27 "Материальные ценности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выданные в личное пользование работникам (сотрудникам)" согласно норм бесплатной выдачи специальной одежды, специальной обуви и других средств</w:t>
      </w:r>
      <w:proofErr w:type="gramEnd"/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индивидуальной защиты, утвержденных</w:t>
      </w:r>
      <w:r w:rsidR="00513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руководителем Учреждения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разработанных в соответствии Приказом Минтруда России от 09.12.2014 </w:t>
      </w:r>
      <w:r w:rsidR="00841A1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997н "Об утверждении 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</w:t>
      </w:r>
      <w:proofErr w:type="gramEnd"/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загрязнением", Приказом </w:t>
      </w:r>
      <w:proofErr w:type="spellStart"/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Минздравсоцразвития</w:t>
      </w:r>
      <w:proofErr w:type="spellEnd"/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17.12.2010 </w:t>
      </w:r>
      <w:r w:rsidR="00841A1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4B96"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1122н "Об утверждении типовых норм бесплатной выдачи работникам смывающих и (или) обезвреживающих средств и стандарта безопасности труда "Обеспечение работников смывающими и (или) обезвреживающими средствами".</w:t>
      </w:r>
    </w:p>
    <w:p w:rsidR="00507087" w:rsidRPr="00DC4B96" w:rsidRDefault="00DC4B9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Списание предметов специальной одежды, специальной обуви и др. средств индивидуальной защиты осуществляется </w:t>
      </w:r>
      <w:proofErr w:type="gramStart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акта</w:t>
      </w:r>
      <w:proofErr w:type="gramEnd"/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списании мягкого инвентаря по истечении сроков индивидуального пользования или в связи с порчей.</w:t>
      </w:r>
    </w:p>
    <w:p w:rsidR="00984BBB" w:rsidRPr="00984BBB" w:rsidRDefault="00AE3ABE" w:rsidP="00A557B9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47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.4.10. </w:t>
      </w:r>
      <w:r w:rsidR="00984BBB"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53 СГС «Концептуальные основы» для оценки различных видов активов и обязатель</w:t>
      </w:r>
      <w:proofErr w:type="gramStart"/>
      <w:r w:rsidR="00984BBB"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сл</w:t>
      </w:r>
      <w:proofErr w:type="gramEnd"/>
      <w:r w:rsidR="00984BBB"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едует применять справедливую стоимость, которая определяется методом рыночных цен (применяется в отношении активов или обязательств). </w:t>
      </w:r>
    </w:p>
    <w:p w:rsidR="00984BBB" w:rsidRPr="00984BBB" w:rsidRDefault="00D347E2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84BBB"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етод рыночных цен применяется </w:t>
      </w:r>
      <w:proofErr w:type="gramStart"/>
      <w:r w:rsidR="00984BBB"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984BBB"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реализации имущества;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оприходовании излишков, выявленных при инвентаризации;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отражении</w:t>
      </w:r>
      <w:proofErr w:type="gramEnd"/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недостач, оценки причинённого имуществу ущерба;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34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оприходовании имущества, полученного по договорам дарения (пожертвования), иного безвозмездного получения;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оприходовании материальных запасов, полученных от разборки объектов основных средств, частичной разборки, ликвидации.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Справедливая стоимость при методе рыночных цен определяется на основании текущих рыночных цен, данных независимого эксперта (оценщика), данных о недавних сделках с аналогичными или схожими активами (обязательствами), с</w:t>
      </w:r>
      <w:r w:rsidR="00440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овершенных без отсрочки платежа. </w:t>
      </w: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Справедливая стоимость объектов основных средств определяется методом рыночных цен.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Стоимость восстановления (воспроизводства) актива определяется как стоимость полного восстановления (воспроизводства) полезного потенциала актива.</w:t>
      </w:r>
    </w:p>
    <w:p w:rsidR="00984BBB" w:rsidRPr="00984BBB" w:rsidRDefault="00984BBB" w:rsidP="00A557B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Справедливая стоимость применяется: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приобретении объекта основных средств (материальных запасов), приобретенного путем обменной операции в обмен на иные активы, за исключением денежных средств (их эквивалентов);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приобретении основного средства (материального запаса) в результате необменной операции;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оценке основного средства (материального запаса), предназначенного для отчуждения не в пользу организаций государственного сектора - в данном случае применяется справедливая стоимость, определяемая методом рыночных цен;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переоценке основных средств (материальных запасов);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возникновении объектов учета аренды, возникающих в рамках договоров безвозмездного пользования или в рамках договоров аренды (имущественного найма), предусматривающих предоставление имущества в возмездное пользование по цене значительно ниже рыночной стоимости</w:t>
      </w:r>
      <w:r w:rsidR="00440C2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этом д</w:t>
      </w: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анные объекты отражаются в бухгалтерском учете по их справедливой стоимости, определяемой на дату классификации объектов учета аренды методом рыночных цен - как если бы право пользования имуществом было предоставлено</w:t>
      </w:r>
      <w:proofErr w:type="gramEnd"/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коммерческих (рыночных) условиях;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сумма возмещения причиненного ущерба, подлежащая взысканию с виновного лица.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Текущая оценочная стоимость определяется комиссией по поступлению и выбытию активов, исходя из текущих рыночных цен на аналогичные материальные ценности.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 действующей цене должны быть подтверждены документально: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справками (другими подтверждающими документами) Росстата;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прайс-листами заводов-изготовителей;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справками (другими подтверждающими документами) оценщиков;</w:t>
      </w:r>
    </w:p>
    <w:p w:rsidR="00984BBB" w:rsidRPr="00984BBB" w:rsidRDefault="00984BBB" w:rsidP="00A557B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информацией, размещенной в СМИ, и т.д.</w:t>
      </w:r>
    </w:p>
    <w:p w:rsidR="00984BBB" w:rsidRPr="00984BBB" w:rsidRDefault="00E94D52" w:rsidP="00A557B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84BBB"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невозможности документального подтверждения стоимость определяется экспертным путем.</w:t>
      </w:r>
    </w:p>
    <w:p w:rsidR="00984BBB" w:rsidRPr="00984BBB" w:rsidRDefault="00E94D52" w:rsidP="00A557B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84BBB" w:rsidRPr="00984B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невозможности комиссией учреждения определить текущую оценочную стоимость заключается договор со специализированной организацией (оценщиком).</w:t>
      </w:r>
    </w:p>
    <w:p w:rsidR="005D32B9" w:rsidRDefault="005D32B9" w:rsidP="00B8595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AC5" w:rsidRPr="0093437F" w:rsidRDefault="00DF6AC5" w:rsidP="00B8595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F66AF" w:rsidRPr="00934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34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F66AF" w:rsidRPr="00934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Затраты на изготовление готовой продукции</w:t>
      </w:r>
    </w:p>
    <w:p w:rsidR="005F66AF" w:rsidRPr="005F66AF" w:rsidRDefault="00DF6AC5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изготовление готовой продукции</w:t>
      </w:r>
      <w:r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(выполнение работ, оказание услуг) делятся на прямые и накладные.</w:t>
      </w:r>
    </w:p>
    <w:p w:rsidR="005F66AF" w:rsidRPr="005F66AF" w:rsidRDefault="0093437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4.5.1.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прямых затрат при формировании себестоимости оказания услуги, изготовления единицы готовой продукции учитываются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расходы, непосредственно связанные с ее оказанием (изготовлением). В том числе:</w:t>
      </w:r>
    </w:p>
    <w:p w:rsidR="005F66AF" w:rsidRPr="005F66AF" w:rsidRDefault="00DF6AC5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списанные материальные запасы, израсходованные непосредственно на оказание услуги (изготовление продукции);</w:t>
      </w:r>
    </w:p>
    <w:p w:rsidR="005F66AF" w:rsidRPr="005F66AF" w:rsidRDefault="005F66A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амортизации основных средств, которые используются при оказании услуги (изготовлении продукции).</w:t>
      </w:r>
    </w:p>
    <w:p w:rsidR="005F66AF" w:rsidRPr="005F66AF" w:rsidRDefault="0093437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4.5.2.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накладных расходов при формировании себестоимости услуг (готовой продукции) учитываются</w:t>
      </w:r>
      <w:r w:rsidR="00DF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расходы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F66AF" w:rsidRPr="005F66AF" w:rsidRDefault="00DF6AC5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материальные запасы, израсходованные на нужды учреждения, естественная убыль;</w:t>
      </w:r>
    </w:p>
    <w:p w:rsidR="005F66AF" w:rsidRPr="005F66AF" w:rsidRDefault="00DF6AC5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амортизация основных средств, которые используются для изготовления разных видов продукции, оказания услуг;</w:t>
      </w:r>
    </w:p>
    <w:p w:rsidR="005F66AF" w:rsidRPr="005F66AF" w:rsidRDefault="005F66A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Накладные расходы распределяются между себестоимостью разных видов услуг (готовой продукции) по окончании месяца пропорционально прямым затратам на единицу услуги, работы, продукции в месяце распределения.</w:t>
      </w:r>
    </w:p>
    <w:p w:rsidR="005F66AF" w:rsidRPr="005F66AF" w:rsidRDefault="0093437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4.5.3.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общехозяйственных расходов учитываются расходы, распределяемые между всеми видами услуг (продукции):</w:t>
      </w:r>
    </w:p>
    <w:p w:rsidR="005F66AF" w:rsidRPr="005F66AF" w:rsidRDefault="001C2A7D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материальные запасы, израсходованные на общехозяйственные нужды учреждения (в том числе в качестве естественной убыли, пришедшие в негодность) на цели, не связанные напрямую с оказанием услуг (изготовлением готовой продукции);</w:t>
      </w:r>
    </w:p>
    <w:p w:rsidR="005F66AF" w:rsidRPr="005F66AF" w:rsidRDefault="001C2A7D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амортизация основных средств, не связанных напрямую с оказанием услуг (выполнением работ, изготовлением готовой продукции);</w:t>
      </w:r>
    </w:p>
    <w:p w:rsidR="005F66AF" w:rsidRPr="005F66AF" w:rsidRDefault="005F66A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Общехозяйственные расходы </w:t>
      </w:r>
      <w:r w:rsidR="0093437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чреждений, произведенные за отчетный период (месяц), распределяются:</w:t>
      </w:r>
    </w:p>
    <w:p w:rsidR="005F66AF" w:rsidRPr="005F66AF" w:rsidRDefault="001C2A7D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распределяемых расходов – на себестоимость реализованной готовой продукции, оказанных работ, услуг пропорционально прямым затратам на единицу услуги, работы, продукции;</w:t>
      </w:r>
    </w:p>
    <w:p w:rsidR="005F66AF" w:rsidRPr="005F66AF" w:rsidRDefault="001C2A7D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proofErr w:type="spellStart"/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нераспределяемых</w:t>
      </w:r>
      <w:proofErr w:type="spellEnd"/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– на увеличение расходов текущего финансового года (КБК Х.401.20.000).</w:t>
      </w:r>
    </w:p>
    <w:p w:rsidR="005F66AF" w:rsidRPr="005F66AF" w:rsidRDefault="005F66A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Расходами, которые не включаются в себестоимость (</w:t>
      </w:r>
      <w:proofErr w:type="spellStart"/>
      <w:r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нераспределяемые</w:t>
      </w:r>
      <w:proofErr w:type="spellEnd"/>
      <w:r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расходы) и сразу списываются на финансовый результат (счет КБК Х.401.20.000), признаются:</w:t>
      </w:r>
    </w:p>
    <w:p w:rsidR="005F66AF" w:rsidRPr="005F66AF" w:rsidRDefault="0069684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социальное обеспечение населения;</w:t>
      </w:r>
    </w:p>
    <w:p w:rsidR="005F66AF" w:rsidRPr="005F66AF" w:rsidRDefault="0069684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транспортный налог;</w:t>
      </w:r>
    </w:p>
    <w:p w:rsidR="005F66AF" w:rsidRPr="005F66AF" w:rsidRDefault="0069684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налог на имущество;</w:t>
      </w:r>
    </w:p>
    <w:p w:rsidR="005F66AF" w:rsidRPr="005F66AF" w:rsidRDefault="0069684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штрафы и пени по налогам, штрафы, пени, неустойки за нарушение условий договоров;</w:t>
      </w:r>
    </w:p>
    <w:p w:rsidR="00E021EA" w:rsidRPr="00E021EA" w:rsidRDefault="0069684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E02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амортизация по недвижимому </w:t>
      </w:r>
      <w:r w:rsidR="00E021EA" w:rsidRPr="00E021E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имуществу;</w:t>
      </w:r>
    </w:p>
    <w:p w:rsidR="005F66AF" w:rsidRPr="005F66AF" w:rsidRDefault="00696846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E021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расходы, не включенные в себестоим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</w:t>
      </w:r>
      <w:r w:rsidR="00D460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66AF" w:rsidRPr="005F66AF" w:rsidRDefault="0093437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4.5.4.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Себестоимость услуг (готовой продукции) за отчетный месяц, сформированная на счете КБК Х.109.60.000, списывается в дебет счета КБК Х.401.10.131 «Доходы от оказания платных услуг (работ)» в последний день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месяца за минусом затрат, которые приходятся на незавершенное производство.</w:t>
      </w:r>
    </w:p>
    <w:p w:rsidR="005F66AF" w:rsidRPr="005F66AF" w:rsidRDefault="005F66AF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затрат на незавершенное производство рассчитывается в части:</w:t>
      </w:r>
    </w:p>
    <w:p w:rsidR="005F66AF" w:rsidRPr="005F66AF" w:rsidRDefault="00D460B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– пропорционально доле незавершенных заказов в общем объеме заказов, выполняемых в течение месяца;</w:t>
      </w:r>
    </w:p>
    <w:p w:rsidR="005F66AF" w:rsidRPr="005F66AF" w:rsidRDefault="00D460BB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66AF" w:rsidRPr="005F66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 – пропорционально доле не готовых изделий в общем объеме изделий, изготавливаемых в течение месяца.</w:t>
      </w:r>
    </w:p>
    <w:p w:rsidR="005D32B9" w:rsidRDefault="005D32B9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297E" w:rsidRPr="0093437F" w:rsidRDefault="0093437F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4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CC2C49" w:rsidRPr="00934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934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F67F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Расчеты с подотчетными лицами</w:t>
      </w:r>
    </w:p>
    <w:p w:rsidR="00B7297E" w:rsidRPr="00B7297E" w:rsidRDefault="00F67F3D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4.6</w:t>
      </w:r>
      <w:r w:rsidR="00B72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B7297E" w:rsidRPr="00B72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должностных лиц, имеющих право на получение денег из кассы под отчет на административно-хозяйственные нужды, для которых устанавливается полная индивидуальная материальная ответственность, определяются </w:t>
      </w:r>
      <w:r w:rsidR="00B72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нормативно-правовыми актами Учреждений.</w:t>
      </w:r>
    </w:p>
    <w:p w:rsidR="00B7297E" w:rsidRPr="00B7297E" w:rsidRDefault="00F67F3D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4.6.</w:t>
      </w:r>
      <w:r w:rsidR="00B7297E" w:rsidRPr="00B72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Порядок выдачи наличных денежных средств под отчет и оформления отчетов по их использованию определяется указаниями Банка России от 11.03.2014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предпринимательства».</w:t>
      </w:r>
    </w:p>
    <w:p w:rsidR="00B7297E" w:rsidRPr="00340DA0" w:rsidRDefault="00F67F3D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4.6</w:t>
      </w:r>
      <w:r w:rsidR="00B7297E" w:rsidRPr="00B72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 Допускается перечисление денежных средств под отчет на пластиковые карты по заявлениям работников на льготный проезд, командировочные рас</w:t>
      </w:r>
      <w:r w:rsid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ходы, </w:t>
      </w:r>
      <w:r w:rsidR="00B7297E" w:rsidRPr="00B72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административно-хозяйственные нужды</w:t>
      </w:r>
      <w:r w:rsidR="00340DA0" w:rsidRPr="00340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0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форме, предусмотренной разработчиком ПО 1С.</w:t>
      </w:r>
    </w:p>
    <w:p w:rsidR="00202574" w:rsidRPr="00202574" w:rsidRDefault="00F67F3D" w:rsidP="00A557B9">
      <w:pPr>
        <w:tabs>
          <w:tab w:val="left" w:pos="709"/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4.6.</w:t>
      </w:r>
      <w:r w:rsid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202574"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Устанавливаются следующие сроки сдачи авансового отчета об использовании денежных средств, выданных под отчет:</w:t>
      </w:r>
    </w:p>
    <w:p w:rsidR="00202574" w:rsidRPr="00202574" w:rsidRDefault="00202574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67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хозяйственные расходы - не позднее 10 рабочих дней с момента получения денег под отчет;</w:t>
      </w:r>
    </w:p>
    <w:p w:rsidR="00202574" w:rsidRPr="00202574" w:rsidRDefault="00202574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67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командировочные расходы - не позднее 3 дней после возвращения</w:t>
      </w:r>
      <w:r w:rsidR="00F67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командировки</w:t>
      </w:r>
      <w:r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02574" w:rsidRPr="00202574" w:rsidRDefault="00202574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67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расходы </w:t>
      </w:r>
      <w:r w:rsidR="00F67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оплат</w:t>
      </w:r>
      <w:r w:rsidR="00F67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льготного проезда - не позднее 3 дней после возвращения из отпуска;</w:t>
      </w:r>
    </w:p>
    <w:p w:rsidR="00202574" w:rsidRDefault="00202574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F67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</w:t>
      </w:r>
      <w:r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административно-хозяйственные нужды материально ответственным лицам, находящимся за пределами муниципального района - в течение двух месяцев с момента получения денег под отчет.</w:t>
      </w:r>
    </w:p>
    <w:p w:rsidR="00202574" w:rsidRDefault="00F67F3D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4.6</w:t>
      </w:r>
      <w:r w:rsidR="00202574"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202574"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202574"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Расчеты по приобретению товарно-материальных ценностей, оплате услуг, а также по расходам на представительские, спортивные и иные  мероприятия производятся в пределах лимита расчетов наличными средствами между юридическими лицами в соответствии с указаниями Банка России от 07.10.2013   № 3073-У «Об осуществлении наличных расчетов», за исключением исполнения Учреждениями обязательств по приобретению проездных документов за наличный расчет.</w:t>
      </w:r>
      <w:proofErr w:type="gramEnd"/>
    </w:p>
    <w:p w:rsidR="00202574" w:rsidRDefault="00880187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4.6</w:t>
      </w:r>
      <w:r w:rsid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.6. </w:t>
      </w:r>
      <w:r w:rsidR="00202574" w:rsidRPr="007E5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и условия командирования работников </w:t>
      </w:r>
      <w:r w:rsidR="00202574" w:rsidRPr="00CC2C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определяется </w:t>
      </w:r>
      <w:r w:rsid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нормативно-правовыми актами Учреждений.</w:t>
      </w:r>
      <w:r w:rsidR="00202574" w:rsidRP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02574" w:rsidRPr="007E5277" w:rsidRDefault="00880187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4.6</w:t>
      </w:r>
      <w:r w:rsidR="00E521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2574" w:rsidRPr="007E5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действия доверенности на получение товарно-материальных ценностей установлен в 15 календарных дней.</w:t>
      </w:r>
    </w:p>
    <w:p w:rsidR="00202574" w:rsidRDefault="00202574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5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Срок отчета по выданным доверенностям на получение товарно-материальных ценностей устанавливается не позднее 15-и рабочих дней </w:t>
      </w:r>
      <w:proofErr w:type="gramStart"/>
      <w:r w:rsidRPr="007E5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выдачи</w:t>
      </w:r>
      <w:proofErr w:type="gramEnd"/>
      <w:r w:rsidRPr="007E5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доверенности</w:t>
      </w:r>
      <w:r w:rsidR="00A240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32B9" w:rsidRDefault="005D32B9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708E" w:rsidRPr="00E8708E" w:rsidRDefault="00880187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7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E8708E" w:rsidRPr="00E87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B7297E" w:rsidRPr="00E87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8708E" w:rsidRPr="00E87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Оплата труда</w:t>
      </w:r>
    </w:p>
    <w:p w:rsidR="00B7297E" w:rsidRPr="00B7297E" w:rsidRDefault="00B7297E" w:rsidP="00A557B9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Оплата труда работников </w:t>
      </w:r>
      <w:r w:rsid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Учреждений</w:t>
      </w:r>
      <w:r w:rsidRPr="00B72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осуществляется в сроки</w:t>
      </w:r>
      <w:r w:rsid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установленные Правилами внутреннего трудового распорядка.</w:t>
      </w:r>
    </w:p>
    <w:p w:rsidR="00B7297E" w:rsidRDefault="00B7297E" w:rsidP="00A557B9">
      <w:pPr>
        <w:tabs>
          <w:tab w:val="left" w:pos="709"/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2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Расчеты с персоналом при прекращении трудового договора, производятся в день увольнения работника.</w:t>
      </w:r>
      <w:r w:rsidR="00202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72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Оплата отпуска производится не поздне</w:t>
      </w:r>
      <w:r w:rsidR="00A557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е, чем за три дня до его начала. </w:t>
      </w:r>
      <w:r w:rsidRPr="00B72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Прочие расчеты с персоналом осуществляются в сроки выплаты заработной платы.</w:t>
      </w:r>
    </w:p>
    <w:p w:rsidR="005D32B9" w:rsidRDefault="005D32B9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35CD" w:rsidRPr="00E8708E" w:rsidRDefault="00E8708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7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4.8. </w:t>
      </w:r>
      <w:r w:rsidR="006B72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0335CD" w:rsidRPr="00E87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ебиторск</w:t>
      </w:r>
      <w:r w:rsidR="006B72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</w:t>
      </w:r>
      <w:r w:rsidR="00A5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кредиторск</w:t>
      </w:r>
      <w:r w:rsidR="006B72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</w:t>
      </w:r>
      <w:r w:rsidR="00A5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задолженности</w:t>
      </w:r>
    </w:p>
    <w:p w:rsidR="000335CD" w:rsidRPr="00E521B0" w:rsidRDefault="00E8708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4.8.</w:t>
      </w:r>
      <w:r w:rsidR="000335CD" w:rsidRPr="00E521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Дебиторская задолженность.</w:t>
      </w:r>
    </w:p>
    <w:p w:rsidR="000335CD" w:rsidRPr="000335CD" w:rsidRDefault="00E8708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4.8</w:t>
      </w:r>
      <w:r w:rsidR="000335CD" w:rsidRPr="00E521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.1.1. Сомнительная задолженность - сумма признанного дохода, по</w:t>
      </w:r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которому выявлена дебиторская задолженность, не исполненная должником (плательщиком) в срок и не соответствующая критериям признания актива.</w:t>
      </w:r>
    </w:p>
    <w:p w:rsidR="000335CD" w:rsidRPr="000335CD" w:rsidRDefault="00E8708E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целью квалификации задолженности как сомнительной, каждый долг индивидуально оценивается на предмет наличия следующих обстоятельств:</w:t>
      </w:r>
    </w:p>
    <w:p w:rsidR="000335CD" w:rsidRPr="000335CD" w:rsidRDefault="000335CD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нарушение должником сроков исполнения обязательства;</w:t>
      </w:r>
    </w:p>
    <w:p w:rsidR="000335CD" w:rsidRPr="000335CD" w:rsidRDefault="000335CD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невозможность удержания имущества должника;</w:t>
      </w:r>
    </w:p>
    <w:p w:rsidR="000335CD" w:rsidRPr="000335CD" w:rsidRDefault="000335CD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A240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отсутствие обеспечения долга залогом, задатком, поручительством, банковской гарантией и т.п.;</w:t>
      </w:r>
    </w:p>
    <w:p w:rsidR="000335CD" w:rsidRPr="000335CD" w:rsidRDefault="000335CD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значительные финансовые затруднения должника, ставшие известными из СМИ или других источников;</w:t>
      </w:r>
    </w:p>
    <w:p w:rsidR="000335CD" w:rsidRPr="000335CD" w:rsidRDefault="000335CD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возбуждение процедуры банкротства в отношении должника.</w:t>
      </w:r>
    </w:p>
    <w:p w:rsidR="000335CD" w:rsidRPr="000335CD" w:rsidRDefault="000335CD" w:rsidP="00A557B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дебиторской задолженности и отнесение ее к сомнительной производится в ходе инвентаризации расчетов при проведении годовой инвентаризации, оформляется актом произвольной формы, который составляется инвентаризационной комиссией и прикладываетс</w:t>
      </w:r>
      <w:r w:rsidR="00611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к результатам инвентаризации.</w:t>
      </w:r>
    </w:p>
    <w:p w:rsidR="000335CD" w:rsidRPr="000335CD" w:rsidRDefault="00E8708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4.8</w:t>
      </w:r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.1.2. Безнадежная к взысканию задолженность - задолженность, по которой меры, принятые по ее взысканию, носят полный характер и свидетельствуют о невозможности проведения дальнейших действий по ее возвращению.</w:t>
      </w:r>
    </w:p>
    <w:p w:rsidR="000335CD" w:rsidRPr="000335CD" w:rsidRDefault="00E8708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4.8</w:t>
      </w:r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.1.3. Решение о списании безнадежной задолженности принимается постоянно действующей комиссией по поступлению и выбытию активов после анализа результатов инвентаризации и работы по взысканию задолженности с дебиторов.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Списание задолженности осуществляется в порядке, установленном нормативно-правовыми актами.</w:t>
      </w:r>
    </w:p>
    <w:p w:rsidR="000335CD" w:rsidRPr="000335CD" w:rsidRDefault="00E8708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4.8</w:t>
      </w:r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.2. Кредиторская задолженность.</w:t>
      </w:r>
    </w:p>
    <w:p w:rsidR="000335CD" w:rsidRPr="000335CD" w:rsidRDefault="00E8708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4.8.</w:t>
      </w:r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 Кредиторская задолженность, невостребованная кредиторами, списывается по ре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зультатам инвентаризации</w:t>
      </w:r>
      <w:r w:rsidR="00A240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Основанием для списания служат:</w:t>
      </w:r>
    </w:p>
    <w:p w:rsidR="000335CD" w:rsidRPr="000335CD" w:rsidRDefault="00E8708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</w:t>
      </w:r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первичные документы, подтверждающие возникновение кредиторской задолженности (договоры, акты, товарные накладные, счета, платежные документы);</w:t>
      </w:r>
    </w:p>
    <w:p w:rsidR="000335CD" w:rsidRPr="000335CD" w:rsidRDefault="00E8708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 инвентаризации расчетов с покупателями, поставщиками и прочими дебиторами, кредиторами (ф. 0317015);</w:t>
      </w:r>
    </w:p>
    <w:p w:rsidR="00A557B9" w:rsidRDefault="00E8708E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A557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</w:t>
      </w:r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причине образования задолженности</w:t>
      </w:r>
      <w:r w:rsidR="00A557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изложенная в письменном виде Директором и адресованная руководителю Учреждения;</w:t>
      </w:r>
    </w:p>
    <w:p w:rsidR="000335CD" w:rsidRPr="000335CD" w:rsidRDefault="00A557B9" w:rsidP="00A557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распорядительный документ руководителя Учреждения</w:t>
      </w:r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списании задолженности.</w:t>
      </w:r>
    </w:p>
    <w:p w:rsidR="000335CD" w:rsidRPr="000335CD" w:rsidRDefault="00A557B9" w:rsidP="00A5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4.8.</w:t>
      </w:r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 Учет сумм кредиторской задолженности, не подтвержденных по результатам инвентаризации кредитором, ведется на </w:t>
      </w:r>
      <w:proofErr w:type="spellStart"/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забалансовом</w:t>
      </w:r>
      <w:proofErr w:type="spellEnd"/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счете 20 «Задолженность, невостребованная кредиторами». Задолженность учреждения, невостребованная кредитором, принимается к </w:t>
      </w:r>
      <w:proofErr w:type="spellStart"/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забалансовому</w:t>
      </w:r>
      <w:proofErr w:type="spellEnd"/>
      <w:r w:rsidR="000335CD" w:rsidRPr="00033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учету для наблюдения в течение срока исковой давности (3 года) в сумме задолженности, списанной с балансового учета.</w:t>
      </w:r>
    </w:p>
    <w:p w:rsidR="005D32B9" w:rsidRDefault="005D32B9" w:rsidP="00A5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1EF3" w:rsidRDefault="00171EF3" w:rsidP="00A5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576E" w:rsidRPr="000D182B" w:rsidRDefault="000D182B" w:rsidP="00A5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4.9</w:t>
      </w:r>
      <w:r w:rsidR="00A0576E" w:rsidRPr="000D1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Учет бюджетных обязательств</w:t>
      </w:r>
    </w:p>
    <w:p w:rsidR="00E34CFB" w:rsidRDefault="00D763D5" w:rsidP="00891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4.9</w:t>
      </w:r>
      <w:r w:rsidR="00E34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34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576E" w:rsidRPr="00A057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Учет бюджетных обязательств осуществляется на основании документов, подтверждающих их принятие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911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учетом следующих особенностей:</w:t>
      </w:r>
    </w:p>
    <w:p w:rsidR="00513CD8" w:rsidRPr="00D057CE" w:rsidRDefault="00513CD8" w:rsidP="0089114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tbl>
      <w:tblPr>
        <w:tblW w:w="943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44"/>
        <w:gridCol w:w="2756"/>
        <w:gridCol w:w="9"/>
        <w:gridCol w:w="10"/>
        <w:gridCol w:w="19"/>
        <w:gridCol w:w="2197"/>
      </w:tblGrid>
      <w:tr w:rsidR="00E34CFB" w:rsidRPr="00D057CE" w:rsidTr="00437A81">
        <w:trPr>
          <w:trHeight w:val="543"/>
        </w:trPr>
        <w:tc>
          <w:tcPr>
            <w:tcW w:w="444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34CFB" w:rsidRPr="00D057CE" w:rsidRDefault="00437A81" w:rsidP="00D763D5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  <w:r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>Вид обязательства</w:t>
            </w:r>
          </w:p>
        </w:tc>
        <w:tc>
          <w:tcPr>
            <w:tcW w:w="499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4CFB" w:rsidRPr="00D057CE" w:rsidRDefault="00437A81" w:rsidP="00A17EB4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Mangal"/>
                <w:color w:val="00000A"/>
                <w:sz w:val="20"/>
                <w:szCs w:val="24"/>
                <w:lang w:eastAsia="hi-IN" w:bidi="hi-IN"/>
              </w:rPr>
            </w:pPr>
            <w:r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 xml:space="preserve">Особенности отражения в учете </w:t>
            </w:r>
            <w:r w:rsidR="00E34CFB"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>бюджетн</w:t>
            </w:r>
            <w:r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>ого</w:t>
            </w:r>
            <w:r w:rsidR="00E34CFB"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 xml:space="preserve"> обязательств</w:t>
            </w:r>
            <w:r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>а</w:t>
            </w:r>
          </w:p>
        </w:tc>
      </w:tr>
      <w:tr w:rsidR="00E34CFB" w:rsidRPr="00D057CE" w:rsidTr="00D763D5">
        <w:trPr>
          <w:trHeight w:val="677"/>
        </w:trPr>
        <w:tc>
          <w:tcPr>
            <w:tcW w:w="444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34CFB" w:rsidRPr="00D057CE" w:rsidRDefault="00E34CFB" w:rsidP="00D763D5">
            <w:pPr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pacing w:val="20"/>
                <w:sz w:val="28"/>
                <w:szCs w:val="20"/>
                <w:lang w:eastAsia="ar-SA"/>
              </w:rPr>
            </w:pPr>
          </w:p>
        </w:tc>
        <w:tc>
          <w:tcPr>
            <w:tcW w:w="27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34CFB" w:rsidRPr="00D057CE" w:rsidRDefault="00437A81" w:rsidP="00437A81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  <w:r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>документ-основание</w:t>
            </w:r>
            <w:r w:rsidR="007261A4"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 xml:space="preserve"> для принятия обязательства</w:t>
            </w:r>
            <w:r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222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4CFB" w:rsidRPr="00D057CE" w:rsidRDefault="00437A81" w:rsidP="00D763D5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Mangal"/>
                <w:color w:val="00000A"/>
                <w:sz w:val="20"/>
                <w:szCs w:val="24"/>
                <w:lang w:eastAsia="hi-IN" w:bidi="hi-IN"/>
              </w:rPr>
            </w:pPr>
            <w:r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>объем обязательства</w:t>
            </w:r>
          </w:p>
        </w:tc>
      </w:tr>
      <w:tr w:rsidR="00E34CFB" w:rsidRPr="00D057CE" w:rsidTr="00D763D5"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CFB" w:rsidRPr="00D057CE" w:rsidRDefault="00437A81" w:rsidP="00437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обязательства, предусмотренные условиями заключенных муниципальных контрактов на поставку товаров (выполнение работ, оказание услуг)</w:t>
            </w:r>
          </w:p>
        </w:tc>
        <w:tc>
          <w:tcPr>
            <w:tcW w:w="27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CFB" w:rsidRPr="00D057CE" w:rsidRDefault="00437A81" w:rsidP="00437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  <w:r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>контракт</w:t>
            </w:r>
          </w:p>
        </w:tc>
        <w:tc>
          <w:tcPr>
            <w:tcW w:w="223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CFB" w:rsidRPr="00D057CE" w:rsidRDefault="00437A81" w:rsidP="00437A81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в сумме заключенных контрактов</w:t>
            </w:r>
          </w:p>
        </w:tc>
      </w:tr>
      <w:tr w:rsidR="00E34CFB" w:rsidRPr="00D057CE" w:rsidTr="00D763D5"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CFB" w:rsidRPr="00D057CE" w:rsidRDefault="00437A81" w:rsidP="0084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обязательства по </w:t>
            </w:r>
            <w:r w:rsidR="00846AAD" w:rsidRPr="00D057CE">
              <w:rPr>
                <w:rFonts w:ascii="Times New Roman" w:hAnsi="Times New Roman" w:cs="Times New Roman"/>
                <w:sz w:val="28"/>
                <w:szCs w:val="28"/>
              </w:rPr>
              <w:t xml:space="preserve">оплате труда </w:t>
            </w:r>
          </w:p>
        </w:tc>
        <w:tc>
          <w:tcPr>
            <w:tcW w:w="277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CFB" w:rsidRPr="00D057CE" w:rsidRDefault="00437A81" w:rsidP="00437A81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  <w:r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>справка-уведомление</w:t>
            </w:r>
          </w:p>
        </w:tc>
        <w:tc>
          <w:tcPr>
            <w:tcW w:w="22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CFB" w:rsidRPr="00D057CE" w:rsidRDefault="00437A81" w:rsidP="009031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Mangal"/>
                <w:color w:val="00000A"/>
                <w:sz w:val="20"/>
                <w:szCs w:val="24"/>
                <w:lang w:eastAsia="hi-IN" w:bidi="hi-IN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 xml:space="preserve">в объеме утвержденных </w:t>
            </w:r>
            <w:r w:rsidR="00A17EB4" w:rsidRPr="00D057CE">
              <w:rPr>
                <w:rFonts w:ascii="Times New Roman" w:hAnsi="Times New Roman" w:cs="Times New Roman"/>
                <w:sz w:val="28"/>
                <w:szCs w:val="28"/>
              </w:rPr>
              <w:t xml:space="preserve">на указанные цели </w:t>
            </w: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лимитов бюджетных обязательств</w:t>
            </w:r>
          </w:p>
        </w:tc>
      </w:tr>
      <w:tr w:rsidR="00E34CFB" w:rsidRPr="00D057CE" w:rsidTr="00D763D5"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17EB4" w:rsidRPr="00D057CE" w:rsidRDefault="00A17EB4" w:rsidP="00A17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обязательства по выплате работникам командировочных расходов (в том числе авансовых платежей), иных выплат (суточных)</w:t>
            </w:r>
          </w:p>
          <w:p w:rsidR="00E34CFB" w:rsidRPr="00D057CE" w:rsidRDefault="00E34CFB" w:rsidP="00437A81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</w:p>
        </w:tc>
        <w:tc>
          <w:tcPr>
            <w:tcW w:w="279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CFB" w:rsidRPr="00D057CE" w:rsidRDefault="00A17EB4" w:rsidP="00437A81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  <w:r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>заявление на выдачу аванса на командировочные расходы, авансовый отчет</w:t>
            </w:r>
          </w:p>
        </w:tc>
        <w:tc>
          <w:tcPr>
            <w:tcW w:w="21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17EB4" w:rsidRPr="00D057CE" w:rsidRDefault="00A17EB4" w:rsidP="00A17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в сумме начисленных выплат</w:t>
            </w:r>
          </w:p>
          <w:p w:rsidR="00E34CFB" w:rsidRPr="00D057CE" w:rsidRDefault="00E34CFB" w:rsidP="00437A81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Arial" w:eastAsia="Arial Unicode MS" w:hAnsi="Arial" w:cs="Mangal"/>
                <w:color w:val="00000A"/>
                <w:sz w:val="20"/>
                <w:szCs w:val="24"/>
                <w:lang w:eastAsia="hi-IN" w:bidi="hi-IN"/>
              </w:rPr>
            </w:pPr>
          </w:p>
        </w:tc>
      </w:tr>
      <w:tr w:rsidR="00E34CFB" w:rsidRPr="00D057CE" w:rsidTr="00AD6CCE">
        <w:tc>
          <w:tcPr>
            <w:tcW w:w="4444" w:type="dxa"/>
            <w:tcBorders>
              <w:left w:val="single" w:sz="1" w:space="0" w:color="000000"/>
            </w:tcBorders>
            <w:shd w:val="clear" w:color="auto" w:fill="auto"/>
          </w:tcPr>
          <w:p w:rsidR="00E34CFB" w:rsidRPr="00D057CE" w:rsidRDefault="00846AAD" w:rsidP="005C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публичные нормативные обязательства перед физическими лицами</w:t>
            </w:r>
            <w:r w:rsidR="005C1681" w:rsidRPr="00D057CE">
              <w:rPr>
                <w:rFonts w:ascii="Times New Roman" w:hAnsi="Times New Roman" w:cs="Times New Roman"/>
                <w:sz w:val="28"/>
                <w:szCs w:val="28"/>
              </w:rPr>
              <w:t xml:space="preserve">, публичные обязательства, не относящиеся к </w:t>
            </w:r>
            <w:proofErr w:type="gramStart"/>
            <w:r w:rsidR="005C1681" w:rsidRPr="00D057CE">
              <w:rPr>
                <w:rFonts w:ascii="Times New Roman" w:hAnsi="Times New Roman" w:cs="Times New Roman"/>
                <w:sz w:val="28"/>
                <w:szCs w:val="28"/>
              </w:rPr>
              <w:t>нормативным</w:t>
            </w:r>
            <w:proofErr w:type="gramEnd"/>
          </w:p>
        </w:tc>
        <w:tc>
          <w:tcPr>
            <w:tcW w:w="2794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:rsidR="00E34CFB" w:rsidRPr="00D057CE" w:rsidRDefault="005C1681" w:rsidP="00437A81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  <w:r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>правовой акт о предоставлении выплат, расчетная ведомость</w:t>
            </w:r>
          </w:p>
          <w:p w:rsidR="00B93EEB" w:rsidRPr="00D057CE" w:rsidRDefault="00B93EEB" w:rsidP="00437A81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</w:p>
          <w:p w:rsidR="00B93EEB" w:rsidRPr="00D057CE" w:rsidRDefault="00B93EEB" w:rsidP="00437A81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</w:p>
          <w:p w:rsidR="00B93EEB" w:rsidRPr="00D057CE" w:rsidRDefault="00B93EEB" w:rsidP="00437A81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</w:p>
        </w:tc>
        <w:tc>
          <w:tcPr>
            <w:tcW w:w="219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E34CFB" w:rsidRPr="00D057CE" w:rsidRDefault="00846AAD" w:rsidP="009031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Mangal"/>
                <w:color w:val="00000A"/>
                <w:sz w:val="20"/>
                <w:szCs w:val="24"/>
                <w:lang w:eastAsia="hi-IN" w:bidi="hi-IN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в сумме начисленных выплат</w:t>
            </w:r>
          </w:p>
        </w:tc>
      </w:tr>
      <w:tr w:rsidR="00E34CFB" w:rsidRPr="00D057CE" w:rsidTr="00AD6CCE">
        <w:tc>
          <w:tcPr>
            <w:tcW w:w="444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34CFB" w:rsidRPr="00D057CE" w:rsidRDefault="00B93EEB" w:rsidP="0089546F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обязательства по оплате в бюджеты РФ налогов, сборов, пошлин, взносов, включая обязательства по уплате страховых взносов в государственные внебюджетные фонды</w:t>
            </w:r>
          </w:p>
        </w:tc>
        <w:tc>
          <w:tcPr>
            <w:tcW w:w="2775" w:type="dxa"/>
            <w:gridSpan w:val="3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34CFB" w:rsidRPr="00D057CE" w:rsidRDefault="00B93EEB" w:rsidP="00B93EEB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  <w:r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>расчет, налоговая декларация, расчетная ведомость</w:t>
            </w:r>
          </w:p>
        </w:tc>
        <w:tc>
          <w:tcPr>
            <w:tcW w:w="2216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9546F" w:rsidRPr="00D057CE" w:rsidRDefault="0089546F" w:rsidP="00895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в сумме начисленных налогов, сборов, пошлин, взносов</w:t>
            </w:r>
          </w:p>
          <w:p w:rsidR="00E34CFB" w:rsidRPr="00D057CE" w:rsidRDefault="00E34CFB" w:rsidP="00437A81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</w:p>
        </w:tc>
      </w:tr>
      <w:tr w:rsidR="00AD6CCE" w:rsidRPr="00D057CE" w:rsidTr="00AD6CCE">
        <w:tc>
          <w:tcPr>
            <w:tcW w:w="44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D6CCE" w:rsidRPr="00D057CE" w:rsidRDefault="00AD6CCE" w:rsidP="00AD6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обязательства по выплатам, обусловленные вступившими в законную силу решениями суда</w:t>
            </w:r>
          </w:p>
          <w:p w:rsidR="00AD6CCE" w:rsidRPr="00D057CE" w:rsidRDefault="00AD6CCE" w:rsidP="0089546F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D6CCE" w:rsidRPr="00D057CE" w:rsidRDefault="00AD6CCE" w:rsidP="00B93EEB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  <w:r w:rsidRPr="00D057CE"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  <w:t>решение суда, исполнительный лист, постановление о возбуждении исполнительного производства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D6CCE" w:rsidRPr="00D057CE" w:rsidRDefault="00AD6CCE" w:rsidP="00AD6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в сумме начисленных выплат</w:t>
            </w:r>
          </w:p>
          <w:p w:rsidR="00AD6CCE" w:rsidRPr="00D057CE" w:rsidRDefault="00AD6CCE" w:rsidP="00895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CCE" w:rsidRPr="00D057CE" w:rsidTr="00AD6CCE">
        <w:tc>
          <w:tcPr>
            <w:tcW w:w="44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D6CCE" w:rsidRPr="00D057CE" w:rsidRDefault="00AD6CCE" w:rsidP="00AD6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обязательства по предоставлению из бюджета субсидий юридическим лицам, индивидуальным предпринимателям, физическим лицам - производителям товаров, работ, услуг</w:t>
            </w:r>
          </w:p>
          <w:p w:rsidR="00AD6CCE" w:rsidRPr="00D057CE" w:rsidRDefault="00AD6CCE" w:rsidP="0089546F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D6CCE" w:rsidRPr="00D057CE" w:rsidRDefault="00AD6CCE" w:rsidP="00AD6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правовой акт о предоставлении субсидии, соглашение о предоставлении субсидии</w:t>
            </w:r>
          </w:p>
          <w:p w:rsidR="00AD6CCE" w:rsidRPr="00D057CE" w:rsidRDefault="00AD6CCE" w:rsidP="00B93EEB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D6CCE" w:rsidRPr="00D057CE" w:rsidRDefault="00AD6CCE" w:rsidP="00903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в сумме заключенных соглашений /в объеме лимитов бюджетных обязательств на указанные цели, если основанием для предоставления субсидии не является заключение соглашения</w:t>
            </w:r>
          </w:p>
        </w:tc>
      </w:tr>
      <w:tr w:rsidR="00AD6CCE" w:rsidRPr="00D057CE" w:rsidTr="002D0D08">
        <w:tc>
          <w:tcPr>
            <w:tcW w:w="44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D6CCE" w:rsidRPr="00D057CE" w:rsidRDefault="00153464" w:rsidP="00903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обязательства по предоставлению из бюджета субсидий автономным учреждениям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94556" w:rsidRPr="00D057CE" w:rsidRDefault="00094556" w:rsidP="00094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соглашение о предоставлении субсидии</w:t>
            </w:r>
          </w:p>
          <w:p w:rsidR="00AD6CCE" w:rsidRPr="00D057CE" w:rsidRDefault="00AD6CCE" w:rsidP="00B93EEB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8"/>
                <w:szCs w:val="28"/>
                <w:lang w:eastAsia="hi-IN" w:bidi="hi-IN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94556" w:rsidRPr="00D057CE" w:rsidRDefault="00094556" w:rsidP="00094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в сумме заключенных соглашений</w:t>
            </w:r>
          </w:p>
          <w:p w:rsidR="00AD6CCE" w:rsidRPr="00D057CE" w:rsidRDefault="00AD6CCE" w:rsidP="00895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D08" w:rsidRPr="00D057CE" w:rsidTr="007261A4">
        <w:tc>
          <w:tcPr>
            <w:tcW w:w="44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03150" w:rsidRPr="00D057CE" w:rsidRDefault="00903150" w:rsidP="00903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обязательства по предоставлению из бюджета субсидий автономным </w:t>
            </w:r>
            <w:r w:rsidRPr="00D05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 на иные цели</w:t>
            </w:r>
          </w:p>
          <w:p w:rsidR="002D0D08" w:rsidRPr="00D057CE" w:rsidRDefault="002D0D08" w:rsidP="00153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03150" w:rsidRPr="00D057CE" w:rsidRDefault="00903150" w:rsidP="00903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правовой акт о предоставлении </w:t>
            </w:r>
            <w:r w:rsidRPr="00D05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субсидии, соглашение о предоставлении субсидии</w:t>
            </w:r>
          </w:p>
          <w:p w:rsidR="002D0D08" w:rsidRPr="00D057CE" w:rsidRDefault="002D0D08" w:rsidP="00094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D0D08" w:rsidRPr="00D057CE" w:rsidRDefault="00903150" w:rsidP="00903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сумме заключенных </w:t>
            </w:r>
            <w:r w:rsidRPr="00D05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соглашений </w:t>
            </w:r>
            <w:r w:rsidR="005A5A4C" w:rsidRPr="00D05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5A5A4C" w:rsidRPr="00D05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в объеме лимитов бюджетных обязательств на указанные цели, если основанием для предоставления субсидии не является заключение соглашения</w:t>
            </w:r>
          </w:p>
        </w:tc>
      </w:tr>
      <w:tr w:rsidR="007261A4" w:rsidRPr="00D057CE" w:rsidTr="005A5A4C">
        <w:tc>
          <w:tcPr>
            <w:tcW w:w="44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61A4" w:rsidRPr="00D057CE" w:rsidRDefault="00DA7B20" w:rsidP="0018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обязательства по предоставлению из бюджета </w:t>
            </w:r>
            <w:r w:rsidR="00184897" w:rsidRPr="00D057CE">
              <w:rPr>
                <w:rFonts w:ascii="Times New Roman" w:hAnsi="Times New Roman" w:cs="Times New Roman"/>
                <w:sz w:val="28"/>
                <w:szCs w:val="28"/>
              </w:rPr>
              <w:t xml:space="preserve">автономным учреждениям </w:t>
            </w: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субсидий на осуществление капитальных вложений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A7B20" w:rsidRPr="00D057CE" w:rsidRDefault="00DA7B20" w:rsidP="00DA7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соглашение о предоставлении субсидии</w:t>
            </w:r>
          </w:p>
          <w:p w:rsidR="007261A4" w:rsidRPr="00D057CE" w:rsidRDefault="007261A4" w:rsidP="00903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61A4" w:rsidRPr="00D057CE" w:rsidRDefault="00DA7B20" w:rsidP="00903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в сумме заключенных соглашений</w:t>
            </w:r>
          </w:p>
        </w:tc>
      </w:tr>
      <w:tr w:rsidR="005A5A4C" w:rsidRPr="00D057CE" w:rsidTr="005A5A4C">
        <w:tc>
          <w:tcPr>
            <w:tcW w:w="44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A5A4C" w:rsidRPr="00D057CE" w:rsidRDefault="005A5A4C" w:rsidP="005A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обязательства по предоставлению из бюджета межбюджетных трансфертов</w:t>
            </w:r>
          </w:p>
          <w:p w:rsidR="005A5A4C" w:rsidRPr="00D057CE" w:rsidRDefault="005A5A4C" w:rsidP="0018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A5A4C" w:rsidRPr="00D057CE" w:rsidRDefault="005A5A4C" w:rsidP="00DA7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 xml:space="preserve">справка-уведомление, соглашение 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A5A4C" w:rsidRPr="00D057CE" w:rsidRDefault="005A5A4C" w:rsidP="00D82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в объеме бюджетных ассигнований на указанные цели, если предоставление обусловлено законом / в сумме заключенных соглашений, если предоставление предусмотрено соглашением</w:t>
            </w:r>
          </w:p>
        </w:tc>
      </w:tr>
      <w:tr w:rsidR="009947D3" w:rsidRPr="00D057CE" w:rsidTr="005A5A4C">
        <w:tc>
          <w:tcPr>
            <w:tcW w:w="44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47D3" w:rsidRPr="00D057CE" w:rsidRDefault="009947D3" w:rsidP="00CC5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обязательства по предоставлению из бюджета субсидий 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47D3" w:rsidRPr="00D057CE" w:rsidRDefault="009947D3" w:rsidP="005C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соглашение о предоставлении субсидии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947D3" w:rsidRPr="00D057CE" w:rsidRDefault="009947D3" w:rsidP="00861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7CE">
              <w:rPr>
                <w:rFonts w:ascii="Times New Roman" w:hAnsi="Times New Roman" w:cs="Times New Roman"/>
                <w:sz w:val="28"/>
                <w:szCs w:val="28"/>
              </w:rPr>
              <w:t>в сумме заключенных соглашений</w:t>
            </w:r>
          </w:p>
        </w:tc>
      </w:tr>
    </w:tbl>
    <w:p w:rsidR="00E34CFB" w:rsidRPr="00D057CE" w:rsidRDefault="00E34CFB" w:rsidP="00A557B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eastAsia="Arial Unicode MS" w:hAnsi="Arial" w:cs="Mangal"/>
          <w:color w:val="00000A"/>
          <w:sz w:val="20"/>
          <w:szCs w:val="24"/>
          <w:lang w:eastAsia="hi-IN" w:bidi="hi-IN"/>
        </w:rPr>
      </w:pPr>
    </w:p>
    <w:p w:rsidR="00E34CFB" w:rsidRPr="00D763D5" w:rsidRDefault="00D763D5" w:rsidP="00D763D5">
      <w:pPr>
        <w:widowControl w:val="0"/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</w:pPr>
      <w:r w:rsidRPr="00D057CE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4.9.2. </w:t>
      </w:r>
      <w:r w:rsidR="00CE722B" w:rsidRPr="00D057CE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>Бюджетное обязательство принимается датой начала сро</w:t>
      </w:r>
      <w:r w:rsidR="00CE722B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ка действия документа-основания. </w:t>
      </w:r>
      <w:r w:rsidR="00E34CFB" w:rsidRPr="00D763D5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>В случае</w:t>
      </w:r>
      <w:proofErr w:type="gramStart"/>
      <w:r w:rsidR="00CA13DE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>,</w:t>
      </w:r>
      <w:proofErr w:type="gramEnd"/>
      <w:r w:rsidR="00E34CFB" w:rsidRPr="00D763D5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 если дата </w:t>
      </w:r>
      <w:r w:rsidR="00CE722B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начала срока действия </w:t>
      </w:r>
      <w:r w:rsidR="00E34CFB" w:rsidRPr="00D763D5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>документа и дата предоставления в МКУ «ЦОД» относятся к разным отчетным периодам, бюджетное обязательство принимается датой предоставления  документа в бухгалтерскую службу.</w:t>
      </w:r>
    </w:p>
    <w:p w:rsidR="005D32B9" w:rsidRDefault="005D32B9" w:rsidP="00CE72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1618" w:rsidRPr="00CE722B" w:rsidRDefault="00CE722B" w:rsidP="00CE72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7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4.10. </w:t>
      </w:r>
      <w:r w:rsidR="00A12E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Финансовый результат</w:t>
      </w:r>
    </w:p>
    <w:p w:rsidR="00AF0C8E" w:rsidRDefault="00302A2A" w:rsidP="008427B8">
      <w:pPr>
        <w:widowControl w:val="0"/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4.10.1. </w:t>
      </w:r>
      <w:r w:rsidR="00982E59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>В случае</w:t>
      </w:r>
      <w:proofErr w:type="gramStart"/>
      <w:r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>,</w:t>
      </w:r>
      <w:proofErr w:type="gramEnd"/>
      <w:r w:rsidR="00AF0C8E" w:rsidRPr="00D763D5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  если документ</w:t>
      </w:r>
      <w:r w:rsidR="007A6AB5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>-основани</w:t>
      </w:r>
      <w:r w:rsidR="00982E59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>е</w:t>
      </w:r>
      <w:r w:rsidR="007A6AB5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 для признания дохода</w:t>
      </w:r>
      <w:r w:rsidR="00AF0C8E" w:rsidRPr="00D763D5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 w:rsidR="00982E59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представлен </w:t>
      </w:r>
      <w:r w:rsidR="00982E59" w:rsidRPr="00D763D5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в МКУ «ЦОД» </w:t>
      </w:r>
      <w:r w:rsidR="00982E59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после сдачи бюджетной отчетности за отчетный период, в котором вступил в действие указанный документ-основание, </w:t>
      </w:r>
      <w:r w:rsidR="007A6AB5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доход признается </w:t>
      </w:r>
      <w:r w:rsidR="007A6AB5" w:rsidRPr="00D763D5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>датой предоставления документа в бухгалтерскую службу.</w:t>
      </w:r>
    </w:p>
    <w:p w:rsidR="00CE3889" w:rsidRDefault="002142EF" w:rsidP="008427B8">
      <w:pPr>
        <w:widowControl w:val="0"/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в виде государственной пошлины</w:t>
      </w:r>
      <w:r w:rsidR="00A21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52F" w:rsidRPr="00A215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152F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доходы в виде п</w:t>
      </w:r>
      <w:r w:rsidR="00A2152F" w:rsidRPr="00A2152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латеж</w:t>
      </w:r>
      <w:r w:rsidR="00A2152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2152F" w:rsidRPr="00A2152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уплачиваемы</w:t>
      </w:r>
      <w:r w:rsidR="00D82B7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2152F" w:rsidRPr="00A21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</w:r>
      <w:r w:rsidR="00A21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признаются на основании сведений (информации) о</w:t>
      </w:r>
      <w:proofErr w:type="gramEnd"/>
      <w:r w:rsidR="00A21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215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 выданных специальных разрешений на движение по автомобильным дорогам транспортных средств, осуществляющих перевозки опасных и (или) тяжеловесных грузов, предоставляемых в МКУ «ЦОД»</w:t>
      </w:r>
      <w:r w:rsidR="00D82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структурным подразделением</w:t>
      </w:r>
      <w:r w:rsidR="00A21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оказывающ</w:t>
      </w:r>
      <w:r w:rsidR="00D82B7B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A21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соответствующую муниципальную услугу.</w:t>
      </w:r>
      <w:proofErr w:type="gramEnd"/>
    </w:p>
    <w:p w:rsidR="00A2152F" w:rsidRDefault="00D82B7B" w:rsidP="008427B8">
      <w:pPr>
        <w:widowControl w:val="0"/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</w:t>
      </w:r>
      <w:r w:rsidRPr="00D82B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денежных взысканий (штрафов), поступающие в счет погашения задолженности, образовавшейся до 1 января 2020 года, подлежащие зачислению в бюджет по нормативам, действовавшим в 2019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признаются на </w:t>
      </w:r>
      <w:r w:rsidR="00E16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последнюю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</w:t>
      </w:r>
      <w:r w:rsidR="00E16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денежных средств на лицевой счет админист</w:t>
      </w:r>
      <w:r w:rsidR="00CC7B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ратора доходов бюджета и отражаются в бухгалтерском учете по группе контрагентов «Разные дебиторы».</w:t>
      </w:r>
    </w:p>
    <w:p w:rsidR="00CC7B21" w:rsidRDefault="000842C7" w:rsidP="00624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следующим доходам,  </w:t>
      </w:r>
      <w:r w:rsidR="00DF18A2">
        <w:rPr>
          <w:rFonts w:ascii="Times New Roman" w:hAnsi="Times New Roman" w:cs="Times New Roman"/>
          <w:sz w:val="28"/>
          <w:szCs w:val="28"/>
        </w:rPr>
        <w:t xml:space="preserve">персонифицированный </w:t>
      </w:r>
      <w:r>
        <w:rPr>
          <w:rFonts w:ascii="Times New Roman" w:hAnsi="Times New Roman" w:cs="Times New Roman"/>
          <w:sz w:val="28"/>
          <w:szCs w:val="28"/>
        </w:rPr>
        <w:t xml:space="preserve">управленческий учет которых </w:t>
      </w:r>
      <w:r w:rsidRPr="00F55741">
        <w:rPr>
          <w:rFonts w:ascii="Times New Roman" w:hAnsi="Times New Roman" w:cs="Times New Roman"/>
          <w:sz w:val="28"/>
          <w:szCs w:val="28"/>
        </w:rPr>
        <w:t>в разрезе контрагентов</w:t>
      </w:r>
      <w:r>
        <w:rPr>
          <w:rFonts w:ascii="Times New Roman" w:hAnsi="Times New Roman" w:cs="Times New Roman"/>
          <w:sz w:val="28"/>
          <w:szCs w:val="28"/>
        </w:rPr>
        <w:t xml:space="preserve"> и договоров</w:t>
      </w:r>
      <w:r w:rsidRPr="00F55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ведется </w:t>
      </w:r>
      <w:r w:rsidRPr="00F557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 АСГОР «Имущество», и</w:t>
      </w:r>
      <w:r w:rsidR="00CC7B21">
        <w:rPr>
          <w:rFonts w:ascii="Times New Roman" w:hAnsi="Times New Roman" w:cs="Times New Roman"/>
          <w:sz w:val="28"/>
          <w:szCs w:val="28"/>
        </w:rPr>
        <w:t>тоговые показатели отражаются в бухгалтерском учете в разрезе видов доходов по группе контрагентов «Разные дебиторы»:</w:t>
      </w:r>
    </w:p>
    <w:p w:rsidR="00624D7C" w:rsidRPr="00CC7B21" w:rsidRDefault="00624D7C" w:rsidP="00624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7B21">
        <w:rPr>
          <w:rFonts w:ascii="Times New Roman" w:hAnsi="Times New Roman" w:cs="Times New Roman"/>
          <w:sz w:val="28"/>
          <w:szCs w:val="28"/>
        </w:rPr>
        <w:t>- по доходам,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участков;</w:t>
      </w:r>
      <w:proofErr w:type="gramEnd"/>
    </w:p>
    <w:p w:rsidR="00624D7C" w:rsidRPr="00CC7B21" w:rsidRDefault="00624D7C" w:rsidP="00624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7B21">
        <w:rPr>
          <w:rFonts w:ascii="Times New Roman" w:hAnsi="Times New Roman" w:cs="Times New Roman"/>
          <w:sz w:val="28"/>
          <w:szCs w:val="28"/>
        </w:rPr>
        <w:t>- по доходам,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учреждений));</w:t>
      </w:r>
      <w:proofErr w:type="gramEnd"/>
    </w:p>
    <w:p w:rsidR="00624D7C" w:rsidRPr="00CC7B21" w:rsidRDefault="00624D7C" w:rsidP="00624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7B21">
        <w:rPr>
          <w:rFonts w:ascii="Times New Roman" w:hAnsi="Times New Roman" w:cs="Times New Roman"/>
          <w:sz w:val="28"/>
          <w:szCs w:val="28"/>
        </w:rPr>
        <w:t>- по доходам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учреждений);</w:t>
      </w:r>
    </w:p>
    <w:p w:rsidR="00624D7C" w:rsidRPr="00CC7B21" w:rsidRDefault="00624D7C" w:rsidP="00624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7B21">
        <w:rPr>
          <w:rFonts w:ascii="Times New Roman" w:hAnsi="Times New Roman" w:cs="Times New Roman"/>
          <w:sz w:val="28"/>
          <w:szCs w:val="28"/>
        </w:rPr>
        <w:t>- по доходам от сдачи в аренду имущества, составляющего казну муниципальных районов (за исключением земельных участков);</w:t>
      </w:r>
    </w:p>
    <w:p w:rsidR="00624D7C" w:rsidRDefault="00624D7C" w:rsidP="00624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7B21">
        <w:rPr>
          <w:rFonts w:ascii="Times New Roman" w:hAnsi="Times New Roman" w:cs="Times New Roman"/>
          <w:sz w:val="28"/>
          <w:szCs w:val="28"/>
        </w:rPr>
        <w:lastRenderedPageBreak/>
        <w:t>- по прочим поступлениям от использования имущества</w:t>
      </w:r>
      <w:r w:rsidRPr="005148A1">
        <w:rPr>
          <w:rFonts w:ascii="Times New Roman" w:hAnsi="Times New Roman" w:cs="Times New Roman"/>
          <w:sz w:val="28"/>
          <w:szCs w:val="28"/>
        </w:rPr>
        <w:t>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</w:r>
      <w:r>
        <w:rPr>
          <w:rFonts w:ascii="Times New Roman" w:hAnsi="Times New Roman" w:cs="Times New Roman"/>
          <w:sz w:val="28"/>
          <w:szCs w:val="28"/>
        </w:rPr>
        <w:t>дприятий, в том числе казенных)</w:t>
      </w:r>
      <w:r w:rsidR="009B21D3">
        <w:rPr>
          <w:rFonts w:ascii="Times New Roman" w:hAnsi="Times New Roman" w:cs="Times New Roman"/>
          <w:sz w:val="28"/>
          <w:szCs w:val="28"/>
        </w:rPr>
        <w:t>;</w:t>
      </w:r>
    </w:p>
    <w:p w:rsidR="009B21D3" w:rsidRDefault="009B21D3" w:rsidP="00624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</w:t>
      </w:r>
      <w:r w:rsidRPr="009B21D3">
        <w:rPr>
          <w:rFonts w:ascii="Times New Roman" w:hAnsi="Times New Roman" w:cs="Times New Roman"/>
          <w:sz w:val="28"/>
          <w:szCs w:val="28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 w:rsidR="00CC7B21">
        <w:rPr>
          <w:rFonts w:ascii="Times New Roman" w:hAnsi="Times New Roman" w:cs="Times New Roman"/>
          <w:sz w:val="28"/>
          <w:szCs w:val="28"/>
        </w:rPr>
        <w:t>.</w:t>
      </w:r>
    </w:p>
    <w:p w:rsidR="000842C7" w:rsidRDefault="000842C7" w:rsidP="00624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признание доходов осуществляется </w:t>
      </w:r>
      <w:r w:rsidR="00AB0A94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последним днем отчетного периода, </w:t>
      </w:r>
      <w:r w:rsidR="00AB0A94">
        <w:rPr>
          <w:rFonts w:ascii="Times New Roman" w:hAnsi="Times New Roman" w:cs="Times New Roman"/>
          <w:sz w:val="28"/>
          <w:szCs w:val="28"/>
        </w:rPr>
        <w:t>за который составляется квартальная либо годовая бюджетная отчетность</w:t>
      </w:r>
      <w:r w:rsidR="00561B91">
        <w:rPr>
          <w:rFonts w:ascii="Times New Roman" w:hAnsi="Times New Roman" w:cs="Times New Roman"/>
          <w:sz w:val="28"/>
          <w:szCs w:val="28"/>
        </w:rPr>
        <w:t xml:space="preserve"> (</w:t>
      </w:r>
      <w:r w:rsidR="00561B91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>кроме случая, указанного в абзаце 1 пункта 4.10.1. настоящего Положения)</w:t>
      </w:r>
      <w:r w:rsidR="00AB0A9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информации, предоставляемой </w:t>
      </w:r>
      <w:r w:rsidRPr="00D763D5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>в МКУ «ЦОД»</w:t>
      </w:r>
      <w:r w:rsidR="00AB0A94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 xml:space="preserve"> Учреждением, являющимся администратором данных видов доходов</w:t>
      </w:r>
      <w:r w:rsidR="00561B91">
        <w:rPr>
          <w:rFonts w:ascii="Times New Roman" w:eastAsia="Arial Unicode MS" w:hAnsi="Times New Roman" w:cs="Times New Roman"/>
          <w:color w:val="00000A"/>
          <w:sz w:val="28"/>
          <w:szCs w:val="28"/>
          <w:lang w:eastAsia="hi-IN" w:bidi="hi-IN"/>
        </w:rPr>
        <w:t>.</w:t>
      </w:r>
    </w:p>
    <w:p w:rsidR="00D33FB1" w:rsidRPr="00F95D2D" w:rsidRDefault="00D33FB1" w:rsidP="00D33F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>4.10.</w:t>
      </w:r>
      <w:r w:rsidR="00AF0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3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доходов будущих периодов ведется на счете </w:t>
      </w:r>
      <w:r w:rsidR="001114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95D2D">
        <w:rPr>
          <w:rFonts w:ascii="Times New Roman" w:hAnsi="Times New Roman" w:cs="Times New Roman"/>
          <w:sz w:val="28"/>
          <w:szCs w:val="28"/>
        </w:rPr>
        <w:t xml:space="preserve">40140 "Доходы будущих периодов" </w:t>
      </w:r>
      <w:r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применения </w:t>
      </w:r>
      <w:r w:rsidRPr="00F95D2D">
        <w:rPr>
          <w:rFonts w:ascii="Times New Roman" w:hAnsi="Times New Roman" w:cs="Times New Roman"/>
          <w:sz w:val="28"/>
          <w:szCs w:val="28"/>
        </w:rPr>
        <w:t xml:space="preserve">счетов аналитического учета, кроме доходов </w:t>
      </w:r>
      <w:r w:rsidR="00CC126B">
        <w:rPr>
          <w:rFonts w:ascii="Times New Roman" w:hAnsi="Times New Roman" w:cs="Times New Roman"/>
          <w:sz w:val="28"/>
          <w:szCs w:val="28"/>
        </w:rPr>
        <w:t>в виде</w:t>
      </w:r>
      <w:r w:rsidR="0083096B">
        <w:rPr>
          <w:rFonts w:ascii="Times New Roman" w:hAnsi="Times New Roman" w:cs="Times New Roman"/>
          <w:sz w:val="28"/>
          <w:szCs w:val="28"/>
        </w:rPr>
        <w:t xml:space="preserve"> целевы</w:t>
      </w:r>
      <w:r w:rsidR="00CC126B">
        <w:rPr>
          <w:rFonts w:ascii="Times New Roman" w:hAnsi="Times New Roman" w:cs="Times New Roman"/>
          <w:sz w:val="28"/>
          <w:szCs w:val="28"/>
        </w:rPr>
        <w:t>х</w:t>
      </w:r>
      <w:r w:rsidR="0083096B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F95D2D">
        <w:rPr>
          <w:rFonts w:ascii="Times New Roman" w:hAnsi="Times New Roman" w:cs="Times New Roman"/>
          <w:sz w:val="28"/>
          <w:szCs w:val="28"/>
        </w:rPr>
        <w:t>.</w:t>
      </w:r>
    </w:p>
    <w:p w:rsidR="00A12E0F" w:rsidRDefault="00415DBA" w:rsidP="008C3D9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="00866F69">
        <w:rPr>
          <w:rFonts w:ascii="Times New Roman" w:hAnsi="Times New Roman" w:cs="Times New Roman"/>
          <w:sz w:val="28"/>
          <w:szCs w:val="28"/>
        </w:rPr>
        <w:t>.</w:t>
      </w:r>
      <w:r w:rsidR="00AF0C8E">
        <w:rPr>
          <w:rFonts w:ascii="Times New Roman" w:hAnsi="Times New Roman" w:cs="Times New Roman"/>
          <w:sz w:val="28"/>
          <w:szCs w:val="28"/>
        </w:rPr>
        <w:t>2</w:t>
      </w:r>
      <w:r w:rsidR="00866F69">
        <w:rPr>
          <w:rFonts w:ascii="Times New Roman" w:hAnsi="Times New Roman" w:cs="Times New Roman"/>
          <w:sz w:val="28"/>
          <w:szCs w:val="28"/>
        </w:rPr>
        <w:t xml:space="preserve">.1. </w:t>
      </w:r>
      <w:r w:rsidR="00D33FB1" w:rsidRPr="00F95D2D">
        <w:rPr>
          <w:rFonts w:ascii="Times New Roman" w:hAnsi="Times New Roman" w:cs="Times New Roman"/>
          <w:sz w:val="28"/>
          <w:szCs w:val="28"/>
        </w:rPr>
        <w:t xml:space="preserve">Доходы будущих периодов </w:t>
      </w:r>
      <w:r w:rsidR="00117065">
        <w:rPr>
          <w:rFonts w:ascii="Times New Roman" w:hAnsi="Times New Roman" w:cs="Times New Roman"/>
          <w:sz w:val="28"/>
          <w:szCs w:val="28"/>
        </w:rPr>
        <w:t xml:space="preserve">по </w:t>
      </w:r>
      <w:r w:rsidR="0083096B">
        <w:rPr>
          <w:rFonts w:ascii="Times New Roman" w:hAnsi="Times New Roman" w:cs="Times New Roman"/>
          <w:sz w:val="28"/>
          <w:szCs w:val="28"/>
        </w:rPr>
        <w:t>целевы</w:t>
      </w:r>
      <w:r w:rsidR="00117065">
        <w:rPr>
          <w:rFonts w:ascii="Times New Roman" w:hAnsi="Times New Roman" w:cs="Times New Roman"/>
          <w:sz w:val="28"/>
          <w:szCs w:val="28"/>
        </w:rPr>
        <w:t>м</w:t>
      </w:r>
      <w:r w:rsidR="0083096B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117065">
        <w:rPr>
          <w:rFonts w:ascii="Times New Roman" w:hAnsi="Times New Roman" w:cs="Times New Roman"/>
          <w:sz w:val="28"/>
          <w:szCs w:val="28"/>
        </w:rPr>
        <w:t>ам</w:t>
      </w:r>
      <w:r w:rsidR="0083096B">
        <w:rPr>
          <w:rFonts w:ascii="Times New Roman" w:hAnsi="Times New Roman" w:cs="Times New Roman"/>
          <w:sz w:val="28"/>
          <w:szCs w:val="28"/>
        </w:rPr>
        <w:t xml:space="preserve"> </w:t>
      </w:r>
      <w:r w:rsidR="00D33FB1" w:rsidRPr="00F95D2D">
        <w:rPr>
          <w:rFonts w:ascii="Times New Roman" w:hAnsi="Times New Roman" w:cs="Times New Roman"/>
          <w:sz w:val="28"/>
          <w:szCs w:val="28"/>
        </w:rPr>
        <w:t xml:space="preserve">учитываются с применением </w:t>
      </w:r>
      <w:r w:rsidR="008C3D93" w:rsidRPr="00F95D2D">
        <w:rPr>
          <w:rFonts w:ascii="Times New Roman" w:hAnsi="Times New Roman" w:cs="Times New Roman"/>
          <w:sz w:val="28"/>
          <w:szCs w:val="28"/>
        </w:rPr>
        <w:t xml:space="preserve">счетов аналитического учета </w:t>
      </w:r>
      <w:r w:rsidR="00111494">
        <w:rPr>
          <w:rFonts w:ascii="Times New Roman" w:hAnsi="Times New Roman" w:cs="Times New Roman"/>
          <w:sz w:val="28"/>
          <w:szCs w:val="28"/>
        </w:rPr>
        <w:t>1</w:t>
      </w:r>
      <w:hyperlink r:id="rId30" w:history="1">
        <w:r w:rsidR="008C3D93" w:rsidRPr="00F95D2D">
          <w:rPr>
            <w:rFonts w:ascii="Times New Roman" w:hAnsi="Times New Roman" w:cs="Times New Roman"/>
            <w:sz w:val="28"/>
            <w:szCs w:val="28"/>
          </w:rPr>
          <w:t>40141</w:t>
        </w:r>
      </w:hyperlink>
      <w:r w:rsidR="008C3D93" w:rsidRPr="00F95D2D">
        <w:rPr>
          <w:rFonts w:ascii="Times New Roman" w:hAnsi="Times New Roman" w:cs="Times New Roman"/>
          <w:sz w:val="28"/>
          <w:szCs w:val="28"/>
        </w:rPr>
        <w:t xml:space="preserve"> "Доходы будущих периодов к признанию в текущем году" и </w:t>
      </w:r>
      <w:r w:rsidR="00111494">
        <w:rPr>
          <w:rFonts w:ascii="Times New Roman" w:hAnsi="Times New Roman" w:cs="Times New Roman"/>
          <w:sz w:val="28"/>
          <w:szCs w:val="28"/>
        </w:rPr>
        <w:t>1</w:t>
      </w:r>
      <w:hyperlink r:id="rId31" w:history="1">
        <w:r w:rsidR="008C3D93" w:rsidRPr="00F95D2D">
          <w:rPr>
            <w:rFonts w:ascii="Times New Roman" w:hAnsi="Times New Roman" w:cs="Times New Roman"/>
            <w:sz w:val="28"/>
            <w:szCs w:val="28"/>
          </w:rPr>
          <w:t>40149</w:t>
        </w:r>
      </w:hyperlink>
      <w:r w:rsidR="008C3D93" w:rsidRPr="00F95D2D">
        <w:rPr>
          <w:rFonts w:ascii="Times New Roman" w:hAnsi="Times New Roman" w:cs="Times New Roman"/>
          <w:sz w:val="28"/>
          <w:szCs w:val="28"/>
        </w:rPr>
        <w:t xml:space="preserve"> "Доходы будущих периодов к признанию </w:t>
      </w:r>
      <w:proofErr w:type="gramStart"/>
      <w:r w:rsidR="008C3D93" w:rsidRPr="00F95D2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C3D93" w:rsidRPr="00F95D2D">
        <w:rPr>
          <w:rFonts w:ascii="Times New Roman" w:hAnsi="Times New Roman" w:cs="Times New Roman"/>
          <w:sz w:val="28"/>
          <w:szCs w:val="28"/>
        </w:rPr>
        <w:t xml:space="preserve"> очередные года".</w:t>
      </w:r>
      <w:r w:rsidR="00A12E0F">
        <w:rPr>
          <w:rFonts w:ascii="Times New Roman" w:hAnsi="Times New Roman" w:cs="Times New Roman"/>
          <w:sz w:val="28"/>
          <w:szCs w:val="28"/>
        </w:rPr>
        <w:t xml:space="preserve"> Основанием для </w:t>
      </w:r>
      <w:r w:rsidR="00117065">
        <w:rPr>
          <w:rFonts w:ascii="Times New Roman" w:hAnsi="Times New Roman" w:cs="Times New Roman"/>
          <w:sz w:val="28"/>
          <w:szCs w:val="28"/>
        </w:rPr>
        <w:t xml:space="preserve">оценки ожидаемых доходов и </w:t>
      </w:r>
      <w:r w:rsidR="00A12E0F">
        <w:rPr>
          <w:rFonts w:ascii="Times New Roman" w:hAnsi="Times New Roman" w:cs="Times New Roman"/>
          <w:sz w:val="28"/>
          <w:szCs w:val="28"/>
        </w:rPr>
        <w:t xml:space="preserve">отражения </w:t>
      </w:r>
      <w:r w:rsidR="00117065">
        <w:rPr>
          <w:rFonts w:ascii="Times New Roman" w:hAnsi="Times New Roman" w:cs="Times New Roman"/>
          <w:sz w:val="28"/>
          <w:szCs w:val="28"/>
        </w:rPr>
        <w:t xml:space="preserve">их </w:t>
      </w:r>
      <w:r w:rsidR="00A12E0F">
        <w:rPr>
          <w:rFonts w:ascii="Times New Roman" w:hAnsi="Times New Roman" w:cs="Times New Roman"/>
          <w:sz w:val="28"/>
          <w:szCs w:val="28"/>
        </w:rPr>
        <w:t>в бухгалтерском учете являются:</w:t>
      </w:r>
    </w:p>
    <w:p w:rsidR="008C3D93" w:rsidRDefault="00A12E0F" w:rsidP="008C3D9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вступившее в силу решение о районном бюджете</w:t>
      </w:r>
      <w:r w:rsidR="0083096B">
        <w:rPr>
          <w:rFonts w:ascii="Times New Roman" w:hAnsi="Times New Roman" w:cs="Times New Roman"/>
          <w:sz w:val="28"/>
          <w:szCs w:val="28"/>
        </w:rPr>
        <w:t xml:space="preserve"> – для отражения утвержденных </w:t>
      </w:r>
      <w:proofErr w:type="gramStart"/>
      <w:r w:rsidR="0083096B">
        <w:rPr>
          <w:rFonts w:ascii="Times New Roman" w:hAnsi="Times New Roman" w:cs="Times New Roman"/>
          <w:sz w:val="28"/>
          <w:szCs w:val="28"/>
        </w:rPr>
        <w:t>решением</w:t>
      </w:r>
      <w:proofErr w:type="gramEnd"/>
      <w:r w:rsidR="0083096B">
        <w:rPr>
          <w:rFonts w:ascii="Times New Roman" w:hAnsi="Times New Roman" w:cs="Times New Roman"/>
          <w:sz w:val="28"/>
          <w:szCs w:val="28"/>
        </w:rPr>
        <w:t xml:space="preserve"> о бюджете объемов доходов будущих периодов по целевым средствам;</w:t>
      </w:r>
    </w:p>
    <w:p w:rsidR="0083096B" w:rsidRDefault="0083096B" w:rsidP="0083096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уведомления главных распорядителей средств бюджетов других уровней  о предусмотренных районному бюджету объемах (изменении объемов) целевых средств </w:t>
      </w:r>
      <w:r w:rsidR="00111494">
        <w:rPr>
          <w:rFonts w:ascii="Times New Roman" w:hAnsi="Times New Roman" w:cs="Times New Roman"/>
          <w:sz w:val="28"/>
          <w:szCs w:val="28"/>
        </w:rPr>
        <w:t xml:space="preserve">(далее – уведомление) </w:t>
      </w:r>
      <w:r>
        <w:rPr>
          <w:rFonts w:ascii="Times New Roman" w:hAnsi="Times New Roman" w:cs="Times New Roman"/>
          <w:sz w:val="28"/>
          <w:szCs w:val="28"/>
        </w:rPr>
        <w:t xml:space="preserve">– для отражения в течение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года изменений объемов доходов будущих периодов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целевым средствам.</w:t>
      </w:r>
    </w:p>
    <w:p w:rsidR="0083096B" w:rsidRDefault="0083096B" w:rsidP="008C3D9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этом отражение в бухгалтерском учете </w:t>
      </w:r>
      <w:r w:rsidR="0008071E">
        <w:rPr>
          <w:rFonts w:ascii="Times New Roman" w:hAnsi="Times New Roman" w:cs="Times New Roman"/>
          <w:sz w:val="28"/>
          <w:szCs w:val="28"/>
        </w:rPr>
        <w:t xml:space="preserve">показателей по </w:t>
      </w:r>
      <w:r>
        <w:rPr>
          <w:rFonts w:ascii="Times New Roman" w:hAnsi="Times New Roman" w:cs="Times New Roman"/>
          <w:sz w:val="28"/>
          <w:szCs w:val="28"/>
        </w:rPr>
        <w:t>доход</w:t>
      </w:r>
      <w:r w:rsidR="0008071E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будущих периодов</w:t>
      </w:r>
      <w:r w:rsidR="00CB1F3B">
        <w:rPr>
          <w:rFonts w:ascii="Times New Roman" w:hAnsi="Times New Roman" w:cs="Times New Roman"/>
          <w:sz w:val="28"/>
          <w:szCs w:val="28"/>
        </w:rPr>
        <w:t xml:space="preserve"> по целевым средствам</w:t>
      </w:r>
      <w:r w:rsidR="0008071E">
        <w:rPr>
          <w:rFonts w:ascii="Times New Roman" w:hAnsi="Times New Roman" w:cs="Times New Roman"/>
          <w:sz w:val="28"/>
          <w:szCs w:val="28"/>
        </w:rPr>
        <w:t>, предусмотренным решением о районном бюджете</w:t>
      </w:r>
      <w:r w:rsidR="00207C33">
        <w:rPr>
          <w:rFonts w:ascii="Times New Roman" w:hAnsi="Times New Roman" w:cs="Times New Roman"/>
          <w:sz w:val="28"/>
          <w:szCs w:val="28"/>
        </w:rPr>
        <w:t>,</w:t>
      </w:r>
      <w:r w:rsidR="0008071E">
        <w:rPr>
          <w:rFonts w:ascii="Times New Roman" w:hAnsi="Times New Roman" w:cs="Times New Roman"/>
          <w:sz w:val="28"/>
          <w:szCs w:val="28"/>
        </w:rPr>
        <w:t xml:space="preserve"> </w:t>
      </w:r>
      <w:r w:rsidR="00CB1F3B">
        <w:rPr>
          <w:rFonts w:ascii="Times New Roman" w:hAnsi="Times New Roman" w:cs="Times New Roman"/>
          <w:sz w:val="28"/>
          <w:szCs w:val="28"/>
        </w:rPr>
        <w:t>осуществляется датой</w:t>
      </w:r>
      <w:r w:rsidR="0008071E">
        <w:rPr>
          <w:rFonts w:ascii="Times New Roman" w:hAnsi="Times New Roman" w:cs="Times New Roman"/>
          <w:sz w:val="28"/>
          <w:szCs w:val="28"/>
        </w:rPr>
        <w:t xml:space="preserve"> вступления решения в силу, а при изменении показателей</w:t>
      </w:r>
      <w:r w:rsidR="00CB1F3B">
        <w:rPr>
          <w:rFonts w:ascii="Times New Roman" w:hAnsi="Times New Roman" w:cs="Times New Roman"/>
          <w:sz w:val="28"/>
          <w:szCs w:val="28"/>
        </w:rPr>
        <w:t xml:space="preserve"> </w:t>
      </w:r>
      <w:r w:rsidR="0008071E">
        <w:rPr>
          <w:rFonts w:ascii="Times New Roman" w:hAnsi="Times New Roman" w:cs="Times New Roman"/>
          <w:sz w:val="28"/>
          <w:szCs w:val="28"/>
        </w:rPr>
        <w:t xml:space="preserve"> - датой, указанной в </w:t>
      </w:r>
      <w:r w:rsidR="00111494">
        <w:rPr>
          <w:rFonts w:ascii="Times New Roman" w:hAnsi="Times New Roman" w:cs="Times New Roman"/>
          <w:sz w:val="28"/>
          <w:szCs w:val="28"/>
        </w:rPr>
        <w:t>сведениях о помесячном прогнозе (уточнении) поступления доходов районного бюджета на текущий год, либо датой уведомления, если изменение объемов доходов произошло только в плановом периоде.</w:t>
      </w:r>
      <w:proofErr w:type="gramEnd"/>
    </w:p>
    <w:p w:rsidR="00117065" w:rsidRDefault="00A12E0F" w:rsidP="0011706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95D2D">
        <w:rPr>
          <w:rFonts w:ascii="Times New Roman" w:hAnsi="Times New Roman" w:cs="Times New Roman"/>
          <w:sz w:val="28"/>
          <w:szCs w:val="28"/>
        </w:rPr>
        <w:t xml:space="preserve">Доходы будущих периодов </w:t>
      </w:r>
      <w:r w:rsidR="00117065">
        <w:rPr>
          <w:rFonts w:ascii="Times New Roman" w:hAnsi="Times New Roman" w:cs="Times New Roman"/>
          <w:sz w:val="28"/>
          <w:szCs w:val="28"/>
        </w:rPr>
        <w:t xml:space="preserve">по целевым средствам </w:t>
      </w:r>
      <w:r>
        <w:rPr>
          <w:rFonts w:ascii="Times New Roman" w:hAnsi="Times New Roman" w:cs="Times New Roman"/>
          <w:sz w:val="28"/>
          <w:szCs w:val="28"/>
        </w:rPr>
        <w:t>признаются в составе доходов текущего года не позднее последнего дня отчетного периода, за который составляется квартальная ли</w:t>
      </w:r>
      <w:r w:rsidR="00117065">
        <w:rPr>
          <w:rFonts w:ascii="Times New Roman" w:hAnsi="Times New Roman" w:cs="Times New Roman"/>
          <w:sz w:val="28"/>
          <w:szCs w:val="28"/>
        </w:rPr>
        <w:t xml:space="preserve">бо годовая бюджетная отчетность, в размере расходов, </w:t>
      </w:r>
      <w:r w:rsidR="008427B8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117065">
        <w:rPr>
          <w:rFonts w:ascii="Times New Roman" w:hAnsi="Times New Roman" w:cs="Times New Roman"/>
          <w:sz w:val="28"/>
          <w:szCs w:val="28"/>
        </w:rPr>
        <w:t>произведенных за счет вышеуказанных средств.</w:t>
      </w:r>
    </w:p>
    <w:p w:rsidR="005242E9" w:rsidRDefault="00866F69" w:rsidP="0011706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</w:t>
      </w:r>
      <w:r w:rsidR="00AF0C8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117065">
        <w:rPr>
          <w:rFonts w:ascii="Times New Roman" w:hAnsi="Times New Roman" w:cs="Times New Roman"/>
          <w:sz w:val="28"/>
          <w:szCs w:val="28"/>
        </w:rPr>
        <w:t>Оценка доходов будущих периодов от предоставления имущества в аренду (</w:t>
      </w:r>
      <w:r w:rsidR="00AF0C8E">
        <w:rPr>
          <w:rFonts w:ascii="Times New Roman" w:hAnsi="Times New Roman" w:cs="Times New Roman"/>
          <w:sz w:val="28"/>
          <w:szCs w:val="28"/>
        </w:rPr>
        <w:t xml:space="preserve">имущественного </w:t>
      </w:r>
      <w:r w:rsidR="00117065">
        <w:rPr>
          <w:rFonts w:ascii="Times New Roman" w:hAnsi="Times New Roman" w:cs="Times New Roman"/>
          <w:sz w:val="28"/>
          <w:szCs w:val="28"/>
        </w:rPr>
        <w:t>на</w:t>
      </w:r>
      <w:r w:rsidR="00AF0C8E">
        <w:rPr>
          <w:rFonts w:ascii="Times New Roman" w:hAnsi="Times New Roman" w:cs="Times New Roman"/>
          <w:sz w:val="28"/>
          <w:szCs w:val="28"/>
        </w:rPr>
        <w:t>й</w:t>
      </w:r>
      <w:r w:rsidR="00117065">
        <w:rPr>
          <w:rFonts w:ascii="Times New Roman" w:hAnsi="Times New Roman" w:cs="Times New Roman"/>
          <w:sz w:val="28"/>
          <w:szCs w:val="28"/>
        </w:rPr>
        <w:t>м</w:t>
      </w:r>
      <w:r w:rsidR="00AF0C8E">
        <w:rPr>
          <w:rFonts w:ascii="Times New Roman" w:hAnsi="Times New Roman" w:cs="Times New Roman"/>
          <w:sz w:val="28"/>
          <w:szCs w:val="28"/>
        </w:rPr>
        <w:t>а</w:t>
      </w:r>
      <w:r w:rsidR="00117065">
        <w:rPr>
          <w:rFonts w:ascii="Times New Roman" w:hAnsi="Times New Roman" w:cs="Times New Roman"/>
          <w:sz w:val="28"/>
          <w:szCs w:val="28"/>
        </w:rPr>
        <w:t xml:space="preserve">) осуществляется на основании оценочного экспертного суждения специалистов МКУ «ЦОД», основанного </w:t>
      </w:r>
      <w:r w:rsidR="00117065">
        <w:rPr>
          <w:rFonts w:ascii="Times New Roman" w:hAnsi="Times New Roman" w:cs="Times New Roman"/>
          <w:sz w:val="28"/>
          <w:szCs w:val="28"/>
        </w:rPr>
        <w:lastRenderedPageBreak/>
        <w:t>на анализе всей имеющейся в распоряжении эксперт</w:t>
      </w:r>
      <w:r w:rsidR="00E166BB">
        <w:rPr>
          <w:rFonts w:ascii="Times New Roman" w:hAnsi="Times New Roman" w:cs="Times New Roman"/>
          <w:sz w:val="28"/>
          <w:szCs w:val="28"/>
        </w:rPr>
        <w:t>ов</w:t>
      </w:r>
      <w:r w:rsidR="00117065">
        <w:rPr>
          <w:rFonts w:ascii="Times New Roman" w:hAnsi="Times New Roman" w:cs="Times New Roman"/>
          <w:sz w:val="28"/>
          <w:szCs w:val="28"/>
        </w:rPr>
        <w:t xml:space="preserve"> информации об объекте аренды.</w:t>
      </w:r>
    </w:p>
    <w:p w:rsidR="00415DBA" w:rsidRDefault="00117065" w:rsidP="00415DB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Доходы будущих периодов от предоставления имущества в аренду</w:t>
      </w:r>
      <w:r w:rsidR="00415DBA" w:rsidRPr="00415DBA">
        <w:rPr>
          <w:rFonts w:ascii="Times New Roman" w:hAnsi="Times New Roman" w:cs="Times New Roman"/>
          <w:sz w:val="28"/>
          <w:szCs w:val="28"/>
        </w:rPr>
        <w:t xml:space="preserve"> </w:t>
      </w:r>
      <w:r w:rsidR="00415DBA">
        <w:rPr>
          <w:rFonts w:ascii="Times New Roman" w:hAnsi="Times New Roman" w:cs="Times New Roman"/>
          <w:sz w:val="28"/>
          <w:szCs w:val="28"/>
        </w:rPr>
        <w:t xml:space="preserve">признаются в составе доходов текущего года </w:t>
      </w:r>
      <w:r w:rsidR="00AB0A94">
        <w:rPr>
          <w:rFonts w:ascii="Times New Roman" w:hAnsi="Times New Roman" w:cs="Times New Roman"/>
          <w:sz w:val="28"/>
          <w:szCs w:val="28"/>
        </w:rPr>
        <w:t>последним</w:t>
      </w:r>
      <w:r w:rsidR="00415DBA">
        <w:rPr>
          <w:rFonts w:ascii="Times New Roman" w:hAnsi="Times New Roman" w:cs="Times New Roman"/>
          <w:sz w:val="28"/>
          <w:szCs w:val="28"/>
        </w:rPr>
        <w:t xml:space="preserve"> д</w:t>
      </w:r>
      <w:r w:rsidR="00AB0A94">
        <w:rPr>
          <w:rFonts w:ascii="Times New Roman" w:hAnsi="Times New Roman" w:cs="Times New Roman"/>
          <w:sz w:val="28"/>
          <w:szCs w:val="28"/>
        </w:rPr>
        <w:t>нем</w:t>
      </w:r>
      <w:r w:rsidR="00415DBA">
        <w:rPr>
          <w:rFonts w:ascii="Times New Roman" w:hAnsi="Times New Roman" w:cs="Times New Roman"/>
          <w:sz w:val="28"/>
          <w:szCs w:val="28"/>
        </w:rPr>
        <w:t xml:space="preserve"> отчетного периода, за который составляется квартальная либо годовая бюджетная отчетность, в размере начисленных за отчетный период арендных платежей, персонифицированный управленческий учет которых </w:t>
      </w:r>
      <w:r w:rsidR="00415DBA" w:rsidRPr="00F95D2D">
        <w:rPr>
          <w:rFonts w:ascii="Times New Roman" w:hAnsi="Times New Roman" w:cs="Times New Roman"/>
          <w:sz w:val="28"/>
          <w:szCs w:val="28"/>
        </w:rPr>
        <w:t>организован в ПО АСГОР «Имущество»</w:t>
      </w:r>
      <w:r w:rsidR="00415DBA">
        <w:rPr>
          <w:rFonts w:ascii="Times New Roman" w:hAnsi="Times New Roman" w:cs="Times New Roman"/>
          <w:sz w:val="28"/>
          <w:szCs w:val="28"/>
        </w:rPr>
        <w:t xml:space="preserve"> </w:t>
      </w:r>
      <w:r w:rsidR="00415DBA" w:rsidRPr="00F95D2D">
        <w:rPr>
          <w:rFonts w:ascii="Times New Roman" w:hAnsi="Times New Roman" w:cs="Times New Roman"/>
          <w:sz w:val="28"/>
          <w:szCs w:val="28"/>
        </w:rPr>
        <w:t>в разрезе каждого заключенного договора</w:t>
      </w:r>
      <w:r w:rsidR="00415DBA">
        <w:rPr>
          <w:rFonts w:ascii="Times New Roman" w:hAnsi="Times New Roman" w:cs="Times New Roman"/>
          <w:sz w:val="28"/>
          <w:szCs w:val="28"/>
        </w:rPr>
        <w:t>, в том числе:</w:t>
      </w:r>
      <w:proofErr w:type="gramEnd"/>
    </w:p>
    <w:p w:rsidR="00415DBA" w:rsidRDefault="00415DBA" w:rsidP="00415D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</w:t>
      </w:r>
      <w:r w:rsidRPr="005148A1">
        <w:rPr>
          <w:rFonts w:ascii="Times New Roman" w:hAnsi="Times New Roman" w:cs="Times New Roman"/>
          <w:sz w:val="28"/>
          <w:szCs w:val="28"/>
        </w:rPr>
        <w:t>оход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5148A1">
        <w:rPr>
          <w:rFonts w:ascii="Times New Roman" w:hAnsi="Times New Roman" w:cs="Times New Roman"/>
          <w:sz w:val="28"/>
          <w:szCs w:val="28"/>
        </w:rPr>
        <w:t xml:space="preserve">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5DBA" w:rsidRDefault="00415DBA" w:rsidP="00415D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</w:t>
      </w:r>
      <w:r w:rsidRPr="005148A1">
        <w:rPr>
          <w:rFonts w:ascii="Times New Roman" w:hAnsi="Times New Roman" w:cs="Times New Roman"/>
          <w:sz w:val="28"/>
          <w:szCs w:val="28"/>
        </w:rPr>
        <w:t>оход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5148A1">
        <w:rPr>
          <w:rFonts w:ascii="Times New Roman" w:hAnsi="Times New Roman" w:cs="Times New Roman"/>
          <w:sz w:val="28"/>
          <w:szCs w:val="28"/>
        </w:rPr>
        <w:t xml:space="preserve"> от сдачи в аренду имущества, составляющего казну муниципальных районов (за исключением земельных участков)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5DBA" w:rsidRDefault="00415DBA" w:rsidP="00415D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</w:t>
      </w:r>
      <w:r w:rsidRPr="005148A1">
        <w:rPr>
          <w:rFonts w:ascii="Times New Roman" w:hAnsi="Times New Roman" w:cs="Times New Roman"/>
          <w:sz w:val="28"/>
          <w:szCs w:val="28"/>
        </w:rPr>
        <w:t>рочи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48A1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48A1">
        <w:rPr>
          <w:rFonts w:ascii="Times New Roman" w:hAnsi="Times New Roman" w:cs="Times New Roman"/>
          <w:sz w:val="28"/>
          <w:szCs w:val="28"/>
        </w:rPr>
        <w:t xml:space="preserve">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</w:r>
      <w:r>
        <w:rPr>
          <w:rFonts w:ascii="Times New Roman" w:hAnsi="Times New Roman" w:cs="Times New Roman"/>
          <w:sz w:val="28"/>
          <w:szCs w:val="28"/>
        </w:rPr>
        <w:t>дприятий, в том числе казенных).</w:t>
      </w:r>
    </w:p>
    <w:p w:rsidR="00415DBA" w:rsidRDefault="00866F69" w:rsidP="00415DB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</w:t>
      </w:r>
      <w:r w:rsidR="00AF0C8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="00A34A70">
        <w:rPr>
          <w:rFonts w:ascii="Times New Roman" w:hAnsi="Times New Roman" w:cs="Times New Roman"/>
          <w:sz w:val="28"/>
          <w:szCs w:val="28"/>
        </w:rPr>
        <w:t>Для о</w:t>
      </w:r>
      <w:r>
        <w:rPr>
          <w:rFonts w:ascii="Times New Roman" w:hAnsi="Times New Roman" w:cs="Times New Roman"/>
          <w:sz w:val="28"/>
          <w:szCs w:val="28"/>
        </w:rPr>
        <w:t>ценк</w:t>
      </w:r>
      <w:r w:rsidR="00A34A7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доходов будущих периодов по договорам (соглашениям)</w:t>
      </w:r>
      <w:r w:rsidR="00A34A70">
        <w:rPr>
          <w:rFonts w:ascii="Times New Roman" w:hAnsi="Times New Roman" w:cs="Times New Roman"/>
          <w:sz w:val="28"/>
          <w:szCs w:val="28"/>
        </w:rPr>
        <w:t>, условиями которых предусмотрено безвозмездное  предоставление финансовой помощи бюджету муниципального района, используется объем финансовой помощи, предусмотренный договором (соглашением).</w:t>
      </w:r>
    </w:p>
    <w:p w:rsidR="00A34A70" w:rsidRDefault="00A34A70" w:rsidP="00415DB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будущих периодов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0C8E">
        <w:rPr>
          <w:rFonts w:ascii="Times New Roman" w:hAnsi="Times New Roman" w:cs="Times New Roman"/>
          <w:sz w:val="28"/>
          <w:szCs w:val="28"/>
        </w:rPr>
        <w:t>такого</w:t>
      </w:r>
      <w:proofErr w:type="gramEnd"/>
      <w:r w:rsidR="00AF0C8E">
        <w:rPr>
          <w:rFonts w:ascii="Times New Roman" w:hAnsi="Times New Roman" w:cs="Times New Roman"/>
          <w:sz w:val="28"/>
          <w:szCs w:val="28"/>
        </w:rPr>
        <w:t xml:space="preserve"> рода договору (соглашению) </w:t>
      </w:r>
      <w:r>
        <w:rPr>
          <w:rFonts w:ascii="Times New Roman" w:hAnsi="Times New Roman" w:cs="Times New Roman"/>
          <w:sz w:val="28"/>
          <w:szCs w:val="28"/>
        </w:rPr>
        <w:t>признаются в составе доходов текущего года</w:t>
      </w:r>
      <w:r w:rsidR="00AF0C8E">
        <w:rPr>
          <w:rFonts w:ascii="Times New Roman" w:hAnsi="Times New Roman" w:cs="Times New Roman"/>
          <w:sz w:val="28"/>
          <w:szCs w:val="28"/>
        </w:rPr>
        <w:t xml:space="preserve"> на основании отчета о целевом использовании средств.</w:t>
      </w:r>
    </w:p>
    <w:p w:rsidR="00507087" w:rsidRDefault="00AF0C8E" w:rsidP="00415DB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34A70"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4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</w:t>
      </w:r>
      <w:r w:rsidR="00507087"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заключения </w:t>
      </w:r>
      <w:r w:rsidR="00F95D2D"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неопределенный срок  </w:t>
      </w:r>
      <w:r w:rsidR="00507087"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аренды</w:t>
      </w:r>
      <w:r w:rsidR="00F95D2D"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иного договора</w:t>
      </w:r>
      <w:r w:rsid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(соглашения)</w:t>
      </w:r>
      <w:r w:rsidR="00F95D2D"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доходы по которым отражаются на счете </w:t>
      </w:r>
      <w:r w:rsidR="001114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5D2D" w:rsidRPr="00F95D2D">
        <w:rPr>
          <w:rFonts w:ascii="Times New Roman" w:hAnsi="Times New Roman" w:cs="Times New Roman"/>
          <w:sz w:val="28"/>
          <w:szCs w:val="28"/>
        </w:rPr>
        <w:t>40140 "Доходы будущих периодов",</w:t>
      </w:r>
      <w:r w:rsidR="00F95D2D"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</w:t>
      </w:r>
      <w:r w:rsidR="00507087"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рассчитываются по принципу допущения непрерывности деятельности учреждения, принимая во внимание период бюджетного цикла </w:t>
      </w:r>
      <w:r w:rsidR="00507087" w:rsidRPr="00F95D2D">
        <w:rPr>
          <w:rFonts w:ascii="Times New Roman" w:hAnsi="Times New Roman" w:cs="Times New Roman"/>
          <w:sz w:val="28"/>
          <w:szCs w:val="28"/>
        </w:rPr>
        <w:t>три </w:t>
      </w:r>
      <w:r w:rsidR="00507087"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 и размер </w:t>
      </w:r>
      <w:r w:rsidR="00F95D2D"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07087"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латежей, указанный в договоре</w:t>
      </w:r>
      <w:r w:rsidR="0008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(соглашении)</w:t>
      </w:r>
      <w:r w:rsidR="00507087" w:rsidRPr="00F95D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7087" w:rsidRPr="00557F31" w:rsidRDefault="006A6B5E" w:rsidP="00CC5D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4.10.</w:t>
      </w:r>
      <w:r w:rsidR="00AF0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7087" w:rsidRPr="00557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расходов будущих периодов отражаются:</w:t>
      </w:r>
    </w:p>
    <w:p w:rsidR="00507087" w:rsidRPr="00557F31" w:rsidRDefault="00CC5D4F" w:rsidP="00CC5D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7087" w:rsidRPr="00557F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страхование имущества, гражданской ответственности;</w:t>
      </w:r>
    </w:p>
    <w:p w:rsidR="00507087" w:rsidRPr="00557F31" w:rsidRDefault="00CC5D4F" w:rsidP="00CC5D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7087" w:rsidRPr="00557F3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взносы на капремонт многоквартирных домов;</w:t>
      </w:r>
    </w:p>
    <w:p w:rsidR="00507087" w:rsidRPr="00557F31" w:rsidRDefault="00CC5D4F" w:rsidP="00CC5D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7087" w:rsidRPr="00557F3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сертификат ключа ЭЦП;</w:t>
      </w:r>
    </w:p>
    <w:p w:rsidR="00507087" w:rsidRPr="00557F31" w:rsidRDefault="00CC5D4F" w:rsidP="00CC5D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7087" w:rsidRPr="00557F3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упущенная выгода от сдачи объектов в аренду на льготных условиях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7087" w:rsidRPr="00557F31" w:rsidRDefault="00CC5D4F" w:rsidP="00CC5D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07087" w:rsidRPr="00557F3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 будущих периодов списываются на финансовый результат текущего финансового года равномерно по 1/12 за месяц в течение периода, к которому они относятся.</w:t>
      </w:r>
    </w:p>
    <w:p w:rsidR="00AA3B0A" w:rsidRPr="00AA3B0A" w:rsidRDefault="00CC5D4F" w:rsidP="00CC5D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4.10.</w:t>
      </w:r>
      <w:r w:rsidR="00AF0C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A3B0A" w:rsidRPr="00AA3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равномерного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отнесения </w:t>
      </w:r>
      <w:r w:rsidR="00AA3B0A" w:rsidRPr="00AA3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финансовый результат Учреждения, создаются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A3B0A" w:rsidRPr="00AA3B0A">
        <w:rPr>
          <w:rFonts w:ascii="Times New Roman" w:eastAsia="Times New Roman" w:hAnsi="Times New Roman" w:cs="Times New Roman"/>
          <w:sz w:val="28"/>
          <w:szCs w:val="28"/>
          <w:lang w:eastAsia="ru-RU"/>
        </w:rPr>
        <w:t>езервы  предстоящих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A3B0A" w:rsidRDefault="00AA3B0A" w:rsidP="00CC5D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B0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резерв</w:t>
      </w:r>
      <w:r w:rsidR="00CC5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отпусков</w:t>
      </w:r>
      <w:r w:rsidRPr="00AA3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24042" w:rsidRDefault="00CD6050" w:rsidP="00A24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Pr="00FE6A68">
        <w:rPr>
          <w:rFonts w:ascii="Times New Roman" w:hAnsi="Times New Roman" w:cs="Times New Roman"/>
          <w:sz w:val="26"/>
          <w:szCs w:val="26"/>
        </w:rPr>
        <w:t>езерв на оплату страховых взносов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A3B0A" w:rsidRDefault="00AA3B0A" w:rsidP="00A24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AA3B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 по сомнительным долгам</w:t>
      </w:r>
      <w:r w:rsidR="00CD60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6050" w:rsidRDefault="00843809" w:rsidP="00041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резерв</w:t>
      </w:r>
      <w:r w:rsidRPr="00843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по  имеющимся обязательствам, возникшим в результате произоше</w:t>
      </w:r>
      <w:r w:rsidR="00295A7F">
        <w:rPr>
          <w:rFonts w:ascii="Times New Roman" w:eastAsia="Times New Roman" w:hAnsi="Times New Roman" w:cs="Times New Roman"/>
          <w:sz w:val="28"/>
          <w:szCs w:val="28"/>
          <w:lang w:eastAsia="ru-RU"/>
        </w:rPr>
        <w:t>дших фактов хозяйственной жизни.</w:t>
      </w:r>
    </w:p>
    <w:p w:rsidR="00843809" w:rsidRPr="00AA3B0A" w:rsidRDefault="00843809" w:rsidP="00041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050" w:rsidRPr="00A24042" w:rsidRDefault="00CD6050" w:rsidP="00CD6050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4.10.</w:t>
      </w:r>
      <w:r w:rsidR="00AF0C8E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A24042">
        <w:rPr>
          <w:rFonts w:ascii="Times New Roman" w:hAnsi="Times New Roman" w:cs="Times New Roman"/>
          <w:sz w:val="28"/>
          <w:szCs w:val="28"/>
        </w:rPr>
        <w:t>Сумма расходов на оплату предстоящих отпусков определяется по следующей методике:</w:t>
      </w:r>
    </w:p>
    <w:p w:rsidR="00CD6050" w:rsidRPr="00A24042" w:rsidRDefault="00CD6050" w:rsidP="00CD6050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042">
        <w:rPr>
          <w:rFonts w:ascii="Times New Roman" w:hAnsi="Times New Roman" w:cs="Times New Roman"/>
          <w:sz w:val="28"/>
          <w:szCs w:val="28"/>
        </w:rPr>
        <w:t>Расчет средней заработной платы производится по учреждению в целом:</w:t>
      </w:r>
    </w:p>
    <w:p w:rsidR="00CD6050" w:rsidRPr="00A24042" w:rsidRDefault="00CD6050" w:rsidP="00CD6050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042">
        <w:rPr>
          <w:rFonts w:ascii="Times New Roman" w:hAnsi="Times New Roman" w:cs="Times New Roman"/>
          <w:sz w:val="28"/>
          <w:szCs w:val="28"/>
        </w:rPr>
        <w:t>Резерв отпусков</w:t>
      </w:r>
      <w:proofErr w:type="gramStart"/>
      <w:r w:rsidRPr="00A24042">
        <w:rPr>
          <w:rFonts w:ascii="Times New Roman" w:hAnsi="Times New Roman" w:cs="Times New Roman"/>
          <w:sz w:val="28"/>
          <w:szCs w:val="28"/>
        </w:rPr>
        <w:t xml:space="preserve"> = К</w:t>
      </w:r>
      <w:proofErr w:type="gramEnd"/>
      <w:r w:rsidRPr="00A24042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A24042">
        <w:rPr>
          <w:rFonts w:ascii="Times New Roman" w:hAnsi="Times New Roman" w:cs="Times New Roman"/>
          <w:sz w:val="28"/>
          <w:szCs w:val="28"/>
        </w:rPr>
        <w:t>ЗПср</w:t>
      </w:r>
      <w:proofErr w:type="spellEnd"/>
      <w:r w:rsidRPr="00A24042">
        <w:rPr>
          <w:rFonts w:ascii="Times New Roman" w:hAnsi="Times New Roman" w:cs="Times New Roman"/>
          <w:sz w:val="28"/>
          <w:szCs w:val="28"/>
        </w:rPr>
        <w:t>, где</w:t>
      </w:r>
    </w:p>
    <w:p w:rsidR="00CD6050" w:rsidRPr="00A24042" w:rsidRDefault="00CD6050" w:rsidP="00CD6050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404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24042">
        <w:rPr>
          <w:rFonts w:ascii="Times New Roman" w:hAnsi="Times New Roman" w:cs="Times New Roman"/>
          <w:sz w:val="28"/>
          <w:szCs w:val="28"/>
        </w:rPr>
        <w:t xml:space="preserve"> - общее количество, не использованных всеми сотрудниками дней отпуска за период с начала работы на дату расчета (конец каждого года);</w:t>
      </w:r>
    </w:p>
    <w:p w:rsidR="00CD6050" w:rsidRPr="00A24042" w:rsidRDefault="00CD6050" w:rsidP="00CD6050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042">
        <w:rPr>
          <w:rFonts w:ascii="Times New Roman" w:hAnsi="Times New Roman" w:cs="Times New Roman"/>
          <w:sz w:val="28"/>
          <w:szCs w:val="28"/>
        </w:rPr>
        <w:t>ЗПср</w:t>
      </w:r>
      <w:proofErr w:type="spellEnd"/>
      <w:r w:rsidRPr="00A24042">
        <w:rPr>
          <w:rFonts w:ascii="Times New Roman" w:hAnsi="Times New Roman" w:cs="Times New Roman"/>
          <w:sz w:val="28"/>
          <w:szCs w:val="28"/>
        </w:rPr>
        <w:t xml:space="preserve"> - средняя заработная плата по всем сотрудникам учреждения в целом.</w:t>
      </w:r>
    </w:p>
    <w:p w:rsidR="00CD6050" w:rsidRPr="00A24042" w:rsidRDefault="00CD6050" w:rsidP="00CD6050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042">
        <w:rPr>
          <w:rFonts w:ascii="Times New Roman" w:hAnsi="Times New Roman" w:cs="Times New Roman"/>
          <w:sz w:val="28"/>
          <w:szCs w:val="28"/>
        </w:rPr>
        <w:t xml:space="preserve">Средняя дневная зарплата рассчитывается по формуле: </w:t>
      </w:r>
    </w:p>
    <w:p w:rsidR="00CD6050" w:rsidRPr="00A24042" w:rsidRDefault="00CD6050" w:rsidP="00CD6050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042">
        <w:rPr>
          <w:rFonts w:ascii="Times New Roman" w:hAnsi="Times New Roman" w:cs="Times New Roman"/>
          <w:sz w:val="28"/>
          <w:szCs w:val="28"/>
        </w:rPr>
        <w:t>ЗПср</w:t>
      </w:r>
      <w:proofErr w:type="spellEnd"/>
      <w:r w:rsidRPr="00A24042">
        <w:rPr>
          <w:rFonts w:ascii="Times New Roman" w:hAnsi="Times New Roman" w:cs="Times New Roman"/>
          <w:sz w:val="28"/>
          <w:szCs w:val="28"/>
        </w:rPr>
        <w:t xml:space="preserve"> = ФОТ/12/29,3/кол-во работников на отчетную дату.</w:t>
      </w:r>
    </w:p>
    <w:p w:rsidR="00CD6050" w:rsidRPr="00A24042" w:rsidRDefault="00CD6050" w:rsidP="00CD6050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042">
        <w:rPr>
          <w:rFonts w:ascii="Times New Roman" w:hAnsi="Times New Roman" w:cs="Times New Roman"/>
          <w:sz w:val="28"/>
          <w:szCs w:val="28"/>
        </w:rPr>
        <w:t>Резерв на оплату отпусков формируется ежегодно, на последний день года, исходя из данных количества дней неиспользованного отпуска по всем сотрудникам на указанную дату, предоставленных кадровыми службами Учреждений.</w:t>
      </w:r>
    </w:p>
    <w:p w:rsidR="00CD6050" w:rsidRPr="00A24042" w:rsidRDefault="00CD6050" w:rsidP="00CD6050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042">
        <w:rPr>
          <w:rFonts w:ascii="Times New Roman" w:hAnsi="Times New Roman" w:cs="Times New Roman"/>
          <w:sz w:val="28"/>
          <w:szCs w:val="28"/>
        </w:rPr>
        <w:t xml:space="preserve">Уточнение ранее сформированного резерва </w:t>
      </w:r>
      <w:proofErr w:type="gramStart"/>
      <w:r w:rsidRPr="00A24042">
        <w:rPr>
          <w:rFonts w:ascii="Times New Roman" w:hAnsi="Times New Roman" w:cs="Times New Roman"/>
          <w:sz w:val="28"/>
          <w:szCs w:val="28"/>
        </w:rPr>
        <w:t>отражается на дату</w:t>
      </w:r>
      <w:proofErr w:type="gramEnd"/>
      <w:r w:rsidRPr="00A24042">
        <w:rPr>
          <w:rFonts w:ascii="Times New Roman" w:hAnsi="Times New Roman" w:cs="Times New Roman"/>
          <w:sz w:val="28"/>
          <w:szCs w:val="28"/>
        </w:rPr>
        <w:t xml:space="preserve"> его расчета дополнительной бухгалтерской записью (увеличение ранее сформированного резерва), или бухгалтерской записью, оформленной по способу "Красное </w:t>
      </w:r>
      <w:proofErr w:type="spellStart"/>
      <w:r w:rsidRPr="00A24042">
        <w:rPr>
          <w:rFonts w:ascii="Times New Roman" w:hAnsi="Times New Roman" w:cs="Times New Roman"/>
          <w:sz w:val="28"/>
          <w:szCs w:val="28"/>
        </w:rPr>
        <w:t>сторно</w:t>
      </w:r>
      <w:proofErr w:type="spellEnd"/>
      <w:r w:rsidRPr="00A24042">
        <w:rPr>
          <w:rFonts w:ascii="Times New Roman" w:hAnsi="Times New Roman" w:cs="Times New Roman"/>
          <w:sz w:val="28"/>
          <w:szCs w:val="28"/>
        </w:rPr>
        <w:t xml:space="preserve">" (уменьшение ранее сформированного резерва). Остаток по счету </w:t>
      </w:r>
      <w:r w:rsidR="00111494" w:rsidRPr="00A24042">
        <w:rPr>
          <w:rFonts w:ascii="Times New Roman" w:hAnsi="Times New Roman" w:cs="Times New Roman"/>
          <w:sz w:val="28"/>
          <w:szCs w:val="28"/>
        </w:rPr>
        <w:t>1</w:t>
      </w:r>
      <w:r w:rsidRPr="00A24042">
        <w:rPr>
          <w:rFonts w:ascii="Times New Roman" w:hAnsi="Times New Roman" w:cs="Times New Roman"/>
          <w:sz w:val="28"/>
          <w:szCs w:val="28"/>
        </w:rPr>
        <w:t xml:space="preserve">40160 "Резервы предстоящих </w:t>
      </w:r>
      <w:proofErr w:type="spellStart"/>
      <w:r w:rsidRPr="00A24042">
        <w:rPr>
          <w:rFonts w:ascii="Times New Roman" w:hAnsi="Times New Roman" w:cs="Times New Roman"/>
          <w:sz w:val="28"/>
          <w:szCs w:val="28"/>
        </w:rPr>
        <w:t>расходов"</w:t>
      </w:r>
      <w:proofErr w:type="gramStart"/>
      <w:r w:rsidRPr="00A2404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24042">
        <w:rPr>
          <w:rFonts w:ascii="Times New Roman" w:hAnsi="Times New Roman" w:cs="Times New Roman"/>
          <w:sz w:val="28"/>
          <w:szCs w:val="28"/>
        </w:rPr>
        <w:t>ереносится</w:t>
      </w:r>
      <w:proofErr w:type="spellEnd"/>
      <w:r w:rsidRPr="00A24042">
        <w:rPr>
          <w:rFonts w:ascii="Times New Roman" w:hAnsi="Times New Roman" w:cs="Times New Roman"/>
          <w:sz w:val="28"/>
          <w:szCs w:val="28"/>
        </w:rPr>
        <w:t xml:space="preserve"> на следующий год. </w:t>
      </w:r>
    </w:p>
    <w:p w:rsidR="00CD6050" w:rsidRPr="00A24042" w:rsidRDefault="00CD6050" w:rsidP="00CD6050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042">
        <w:rPr>
          <w:rFonts w:ascii="Times New Roman" w:hAnsi="Times New Roman" w:cs="Times New Roman"/>
          <w:sz w:val="28"/>
          <w:szCs w:val="28"/>
        </w:rPr>
        <w:t>4.10.</w:t>
      </w:r>
      <w:r w:rsidR="00AF0C8E" w:rsidRPr="00A24042">
        <w:rPr>
          <w:rFonts w:ascii="Times New Roman" w:hAnsi="Times New Roman" w:cs="Times New Roman"/>
          <w:sz w:val="28"/>
          <w:szCs w:val="28"/>
        </w:rPr>
        <w:t>4</w:t>
      </w:r>
      <w:r w:rsidRPr="00A24042">
        <w:rPr>
          <w:rFonts w:ascii="Times New Roman" w:hAnsi="Times New Roman" w:cs="Times New Roman"/>
          <w:sz w:val="28"/>
          <w:szCs w:val="28"/>
        </w:rPr>
        <w:t>.2. Резерв на оплату страховых взносов рассчитывается с учетом методики расчета резерва на оплату отпусков.</w:t>
      </w:r>
    </w:p>
    <w:p w:rsidR="00CD6050" w:rsidRPr="00A24042" w:rsidRDefault="00CD6050" w:rsidP="00CD6050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042">
        <w:rPr>
          <w:rFonts w:ascii="Times New Roman" w:hAnsi="Times New Roman" w:cs="Times New Roman"/>
          <w:sz w:val="28"/>
          <w:szCs w:val="28"/>
        </w:rPr>
        <w:t>Сумма страховых взносов рассчитывается  без  учета предельной величины базы для начисления страховых взносов на обязательное социальное страхование на случай временной нетрудоспособности и в связи с материнством, уплачиваемых в Фонд социального страхования Российской Федерации.</w:t>
      </w:r>
    </w:p>
    <w:p w:rsidR="00C273C4" w:rsidRPr="00A24042" w:rsidRDefault="00091CCF" w:rsidP="00CD60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4.10.</w:t>
      </w:r>
      <w:r w:rsidR="00AF0C8E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02A2A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BE7985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273C4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выявления сомнительной задолженности формируется резерв по сомнительным долгам. Указанный резерв формируется ежегодно на начало года, следующего за годом проведения инвентаризации, выявившей сомнительную задолженность. Величина резерва устанавливается в размере выявленной сомнительной задолженности.</w:t>
      </w:r>
    </w:p>
    <w:p w:rsidR="00BE7985" w:rsidRPr="00A24042" w:rsidRDefault="00BE7985" w:rsidP="00BE79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 по сомнительным долгам отражается на </w:t>
      </w:r>
      <w:proofErr w:type="spellStart"/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забалансовом</w:t>
      </w:r>
      <w:proofErr w:type="spellEnd"/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счете 04 «Сомнительная задолженность», на балансовых счетах резерв не отражается.</w:t>
      </w:r>
    </w:p>
    <w:p w:rsidR="00532172" w:rsidRDefault="00BE7985" w:rsidP="005321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809">
        <w:rPr>
          <w:rFonts w:ascii="Times New Roman" w:eastAsia="Times New Roman" w:hAnsi="Times New Roman" w:cs="Times New Roman"/>
          <w:sz w:val="28"/>
          <w:szCs w:val="28"/>
          <w:lang w:eastAsia="ru-RU"/>
        </w:rPr>
        <w:t>4.10.</w:t>
      </w:r>
      <w:r w:rsidR="00AF0C8E" w:rsidRPr="008438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43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</w:t>
      </w:r>
      <w:r w:rsidR="00843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="00843809" w:rsidRPr="008438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сумм резервов по иным обязательствам, по которым существует на отчетную дату неопределенность по их сроку исполнения или величине, которая определена на момент их принятия условно (</w:t>
      </w:r>
      <w:proofErr w:type="spellStart"/>
      <w:r w:rsidR="00843809" w:rsidRPr="008438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расчетно</w:t>
      </w:r>
      <w:proofErr w:type="spellEnd"/>
      <w:r w:rsidR="00843809" w:rsidRPr="00843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отражается по дебету соответствующих счетов </w:t>
      </w:r>
      <w:r w:rsidR="00843809" w:rsidRPr="008438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аналитического учета счета 040120200 "Расходы экономического субъекта" и кредиту соответствующих счетов аналитического учета счета 040160000 "Резервы</w:t>
      </w:r>
      <w:r w:rsidR="00532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809" w:rsidRPr="008438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предстоящих</w:t>
      </w:r>
      <w:r w:rsidR="00532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A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расходов".</w:t>
      </w:r>
    </w:p>
    <w:p w:rsidR="00507087" w:rsidRPr="00295A7F" w:rsidRDefault="00507087" w:rsidP="00295A7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B724C" w:rsidRPr="00A24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4.11</w:t>
      </w:r>
      <w:r w:rsidR="00E34CFB" w:rsidRPr="00A24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24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События после отчетной даты</w:t>
      </w:r>
    </w:p>
    <w:p w:rsidR="00507087" w:rsidRPr="00A24042" w:rsidRDefault="006B724C" w:rsidP="006B72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4.11.1. </w:t>
      </w:r>
      <w:proofErr w:type="gramStart"/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данные бухгалтерского учета за отчетный период включается информация о событиях после отчетной даты – существенных фактах хозяйственной жизни, которые произошли в период между отчетной датой и датой подписания или принятия бухгалтерской (финансовой) отчетности и оказали или могут оказать существенное влияние на финансовое состояние, движение денег или результаты д</w:t>
      </w: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еятельности учреждения (далее - </w:t>
      </w:r>
      <w:r w:rsid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обытия).</w:t>
      </w:r>
      <w:proofErr w:type="gramEnd"/>
    </w:p>
    <w:p w:rsidR="00507087" w:rsidRPr="00A24042" w:rsidRDefault="00507087" w:rsidP="006B72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 или результаты деятельности учреждения. Оценивает существенность влияний и квалифицирует событие</w:t>
      </w:r>
      <w:r w:rsid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событие после отчетной даты </w:t>
      </w:r>
      <w:r w:rsidR="00490292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учета МКУ «ЦОД»</w:t>
      </w: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 своего профессионального суждения.</w:t>
      </w:r>
    </w:p>
    <w:p w:rsidR="00507087" w:rsidRPr="00A24042" w:rsidRDefault="006B724C" w:rsidP="006B72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4.11.2. </w:t>
      </w:r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Событиями после отчетной даты признаются:</w:t>
      </w:r>
    </w:p>
    <w:p w:rsidR="00507087" w:rsidRPr="00A24042" w:rsidRDefault="006B724C" w:rsidP="006B72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события, которые подтверждают существовавшие на отчетную дату хозяйственные условия учреждения. </w:t>
      </w:r>
      <w:r w:rsidR="00490292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«ЦОД» </w:t>
      </w:r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применяет перечень таких событий, приведенный в </w:t>
      </w:r>
      <w:hyperlink r:id="rId32" w:anchor="/document/99/542618140/ZAP2V583R3/" w:tooltip="К событиям, подтверждающим условия деятельности относятся:" w:history="1">
        <w:r w:rsidR="00507087" w:rsidRPr="00A240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</w:t>
        </w:r>
      </w:hyperlink>
      <w:hyperlink r:id="rId33" w:anchor="/document/99/542618140/ZAP2V583R3/" w:tooltip="К событиям, подтверждающим условия деятельности относятся:" w:history="1">
        <w:r w:rsidR="00507087" w:rsidRPr="00A240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 СГС «События после отчетной даты»;</w:t>
      </w:r>
    </w:p>
    <w:p w:rsidR="00507087" w:rsidRPr="00A24042" w:rsidRDefault="006B724C" w:rsidP="006B724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события, которые указывают на условия хозяйственной деятельности, факты хозяйственной жизни или обстоятельства, возникшие после отчетной даты. </w:t>
      </w:r>
      <w:r w:rsidR="004E2FA9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«ЦОД» </w:t>
      </w:r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применяет перечень таких событий, приведенный в </w:t>
      </w:r>
      <w:hyperlink r:id="rId34" w:anchor="/document/99/542618140/ZAP2FA83I9/" w:tooltip="Событие после отчетной даты, указывающее на условия деятельности субъекта отчетности (далее - событие, указывающее на условия деятельности) - событие после отчетной даты, которое указывает на условия хозяйственной деятельности..." w:history="1">
        <w:r w:rsidR="00507087" w:rsidRPr="00A240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7</w:t>
        </w:r>
      </w:hyperlink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 СГС «События после отчетной даты».</w:t>
      </w:r>
    </w:p>
    <w:p w:rsidR="00507087" w:rsidRPr="00A24042" w:rsidRDefault="006B724C" w:rsidP="006B72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4.11.3</w:t>
      </w:r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Событие отражается в учете и отчетности в следующем порядке:</w:t>
      </w:r>
    </w:p>
    <w:p w:rsidR="00507087" w:rsidRPr="00A24042" w:rsidRDefault="00507087" w:rsidP="006B72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Событие, которое подтверждает хозяйственные условия, существовавшие на отчетную дату, отражается в учете отчетного периода</w:t>
      </w:r>
      <w:r w:rsidR="006B724C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24C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этом делается:</w:t>
      </w:r>
    </w:p>
    <w:p w:rsidR="004E2FA9" w:rsidRPr="00A24042" w:rsidRDefault="006B724C" w:rsidP="004E2F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бухгалтерская запись, которая отражает это событие;</w:t>
      </w:r>
    </w:p>
    <w:p w:rsidR="00507087" w:rsidRPr="00A24042" w:rsidRDefault="006B724C" w:rsidP="004E2F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запись способом «</w:t>
      </w:r>
      <w:proofErr w:type="gramStart"/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красное</w:t>
      </w:r>
      <w:proofErr w:type="gramEnd"/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сторно</w:t>
      </w:r>
      <w:proofErr w:type="spellEnd"/>
      <w:r w:rsidR="00507087"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(или) дополнительная бухгалтерская запись на сумму, отраженную в бухгалтерском учете.</w:t>
      </w:r>
    </w:p>
    <w:p w:rsidR="00507087" w:rsidRPr="00A24042" w:rsidRDefault="00507087" w:rsidP="004E2F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События отражаются в регистрах бухгалтерского учета в последний день отчетного периода до заключительных операций по закрытию счетов. Данные бухгалтерского учета отражаются в соответствующих формах отчетности с учетом событий после отчетной даты.</w:t>
      </w:r>
    </w:p>
    <w:p w:rsidR="00507087" w:rsidRPr="00A24042" w:rsidRDefault="00507087" w:rsidP="004E2F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Событие, указывающее на возникшие после отчетной даты хозяйственные условия, отражается в бухгалтерском учете периода, следующего за </w:t>
      </w:r>
      <w:proofErr w:type="gramStart"/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Pr="00A24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Аналогичным образом отражается событие, которое не отражено в учете и отчетности отчетного периода из-за соблюдения сроков представления отчетности или из-за позднего поступления первичных учетных документов. </w:t>
      </w:r>
    </w:p>
    <w:p w:rsidR="008A23C9" w:rsidRPr="00A24042" w:rsidRDefault="008A23C9" w:rsidP="00A557B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</w:p>
    <w:p w:rsidR="00E34CFB" w:rsidRPr="0072195C" w:rsidRDefault="0072195C" w:rsidP="00532172">
      <w:pPr>
        <w:tabs>
          <w:tab w:val="left" w:pos="1065"/>
        </w:tabs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252525"/>
          <w:spacing w:val="-1"/>
          <w:sz w:val="32"/>
          <w:szCs w:val="32"/>
          <w:lang w:eastAsia="ru-RU"/>
        </w:rPr>
      </w:pPr>
      <w:r w:rsidRPr="0072195C">
        <w:rPr>
          <w:rFonts w:ascii="Times New Roman" w:eastAsia="Times New Roman" w:hAnsi="Times New Roman" w:cs="Times New Roman"/>
          <w:b/>
          <w:bCs/>
          <w:color w:val="252525"/>
          <w:spacing w:val="-1"/>
          <w:sz w:val="32"/>
          <w:szCs w:val="32"/>
          <w:lang w:eastAsia="ru-RU"/>
        </w:rPr>
        <w:lastRenderedPageBreak/>
        <w:t>5</w:t>
      </w:r>
      <w:r w:rsidR="00E34CFB" w:rsidRPr="0072195C">
        <w:rPr>
          <w:rFonts w:ascii="Times New Roman" w:eastAsia="Times New Roman" w:hAnsi="Times New Roman" w:cs="Times New Roman"/>
          <w:b/>
          <w:bCs/>
          <w:color w:val="252525"/>
          <w:spacing w:val="-1"/>
          <w:sz w:val="32"/>
          <w:szCs w:val="32"/>
          <w:lang w:eastAsia="ru-RU"/>
        </w:rPr>
        <w:t>. Общие принципы ведения налогового учета</w:t>
      </w:r>
    </w:p>
    <w:p w:rsidR="00E34CFB" w:rsidRPr="00E34CFB" w:rsidRDefault="00E34CFB" w:rsidP="00A557B9">
      <w:pPr>
        <w:tabs>
          <w:tab w:val="left" w:pos="1065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52525"/>
          <w:spacing w:val="-1"/>
          <w:sz w:val="28"/>
          <w:szCs w:val="28"/>
          <w:lang w:eastAsia="ru-RU"/>
        </w:rPr>
      </w:pPr>
    </w:p>
    <w:p w:rsidR="00E34CFB" w:rsidRPr="00E34CFB" w:rsidRDefault="0072195C" w:rsidP="00A557B9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5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.1. Система налогового учета создается в рамках существующей системы бюджетного учета в соответствии с требованиями Налогового кодекса Российской Федерации.</w:t>
      </w:r>
    </w:p>
    <w:p w:rsidR="00E34CFB" w:rsidRPr="00E34CFB" w:rsidRDefault="0072195C" w:rsidP="00A557B9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5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.2. Для ведения налогового учета используются данные бухгалтерского учета.</w:t>
      </w:r>
    </w:p>
    <w:p w:rsidR="00E34CFB" w:rsidRDefault="0072195C" w:rsidP="00A557B9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5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.3. Налоговая отчетность представляется в налоговые органы по телекоммуникационным каналам связи.</w:t>
      </w:r>
    </w:p>
    <w:p w:rsidR="00E34CFB" w:rsidRDefault="00E34CFB" w:rsidP="00A557B9">
      <w:pPr>
        <w:tabs>
          <w:tab w:val="left" w:pos="1065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</w:p>
    <w:p w:rsidR="00E34CFB" w:rsidRPr="00302A2A" w:rsidRDefault="0072195C" w:rsidP="00302A2A">
      <w:pPr>
        <w:tabs>
          <w:tab w:val="left" w:pos="1065"/>
        </w:tabs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b/>
          <w:bCs/>
          <w:color w:val="252525"/>
          <w:spacing w:val="-1"/>
          <w:sz w:val="32"/>
          <w:szCs w:val="32"/>
          <w:lang w:eastAsia="ru-RU"/>
        </w:rPr>
      </w:pPr>
      <w:r w:rsidRPr="0072195C">
        <w:rPr>
          <w:rFonts w:ascii="Times New Roman" w:eastAsia="Times New Roman" w:hAnsi="Times New Roman" w:cs="Times New Roman"/>
          <w:b/>
          <w:bCs/>
          <w:color w:val="252525"/>
          <w:spacing w:val="-1"/>
          <w:sz w:val="32"/>
          <w:szCs w:val="32"/>
          <w:lang w:eastAsia="ru-RU"/>
        </w:rPr>
        <w:t>6</w:t>
      </w:r>
      <w:r w:rsidR="00E34CFB" w:rsidRPr="0072195C">
        <w:rPr>
          <w:rFonts w:ascii="Times New Roman" w:eastAsia="Times New Roman" w:hAnsi="Times New Roman" w:cs="Times New Roman"/>
          <w:b/>
          <w:bCs/>
          <w:color w:val="252525"/>
          <w:spacing w:val="-1"/>
          <w:sz w:val="32"/>
          <w:szCs w:val="32"/>
          <w:lang w:eastAsia="ru-RU"/>
        </w:rPr>
        <w:t>. Порядок организации и осуществления внутреннего</w:t>
      </w:r>
      <w:r w:rsidRPr="0072195C">
        <w:rPr>
          <w:rFonts w:ascii="Times New Roman" w:eastAsia="Times New Roman" w:hAnsi="Times New Roman" w:cs="Times New Roman"/>
          <w:b/>
          <w:bCs/>
          <w:color w:val="252525"/>
          <w:spacing w:val="-1"/>
          <w:sz w:val="32"/>
          <w:szCs w:val="32"/>
          <w:lang w:eastAsia="ru-RU"/>
        </w:rPr>
        <w:t xml:space="preserve"> </w:t>
      </w:r>
      <w:r w:rsidR="00E34CFB" w:rsidRPr="0072195C">
        <w:rPr>
          <w:rFonts w:ascii="Times New Roman" w:eastAsia="Times New Roman" w:hAnsi="Times New Roman" w:cs="Times New Roman"/>
          <w:b/>
          <w:bCs/>
          <w:color w:val="252525"/>
          <w:spacing w:val="-1"/>
          <w:sz w:val="32"/>
          <w:szCs w:val="32"/>
          <w:lang w:eastAsia="ru-RU"/>
        </w:rPr>
        <w:t>финансового контроля</w:t>
      </w:r>
    </w:p>
    <w:p w:rsidR="00E34CFB" w:rsidRPr="00E34CFB" w:rsidRDefault="0072195C" w:rsidP="00A557B9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6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.1. Внутренний финансовый контроль - процесс управления деятельностью </w:t>
      </w:r>
      <w:r w:rsid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Учреждений 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с целью эффективного и результативного использования бюджетных средств, сохранности финансовых и нефинансовых активов, соблюдения установленных требований и представления достоверной отчетности.</w:t>
      </w:r>
    </w:p>
    <w:p w:rsidR="00E34CFB" w:rsidRPr="00E34CFB" w:rsidRDefault="0072195C" w:rsidP="00A557B9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6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.2. Основной целью внутреннего финансового контроля является подтверждение достоверности бухгалтерского учета и отчетности, соблюдение действующего законодательства Российской Федерации, регулирующего порядок осуществления финансово-хозяйственной деятельности.</w:t>
      </w:r>
    </w:p>
    <w:p w:rsidR="00E34CFB" w:rsidRPr="00E34CFB" w:rsidRDefault="00E34CFB" w:rsidP="00A557B9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Система внутреннего финансового контроля призвана обеспечить:</w:t>
      </w:r>
    </w:p>
    <w:p w:rsidR="00E34CFB" w:rsidRPr="00E34CFB" w:rsidRDefault="00E34CFB" w:rsidP="0072195C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- точность и полноту документации бухгалтерского учета;</w:t>
      </w:r>
    </w:p>
    <w:p w:rsidR="00E34CFB" w:rsidRPr="00E34CFB" w:rsidRDefault="00E34CFB" w:rsidP="0072195C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- своевременность подготовки достоверной бухгалтерской отчетности;</w:t>
      </w:r>
    </w:p>
    <w:p w:rsidR="00E34CFB" w:rsidRPr="00E34CFB" w:rsidRDefault="00E34CFB" w:rsidP="0072195C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- предотвращение ошибок и искажений;</w:t>
      </w:r>
    </w:p>
    <w:p w:rsidR="00E34CFB" w:rsidRPr="00E34CFB" w:rsidRDefault="00E34CFB" w:rsidP="0072195C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- сохранность имущества учреждения.</w:t>
      </w:r>
    </w:p>
    <w:p w:rsidR="00E34CFB" w:rsidRPr="00E34CFB" w:rsidRDefault="0072195C" w:rsidP="00A557B9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6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.</w:t>
      </w:r>
      <w:r w:rsid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3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. Помимо внутреннего финансового контроля </w:t>
      </w:r>
      <w:r w:rsidR="00ED5785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Учреждения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 осуществля</w:t>
      </w:r>
      <w:r w:rsidR="00ED5785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ю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т предварительный, текущий и последующий контроль.</w:t>
      </w:r>
    </w:p>
    <w:p w:rsidR="00E34CFB" w:rsidRPr="00E34CFB" w:rsidRDefault="00E34CFB" w:rsidP="00A557B9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Предварительный контроль - проводится до начала совершения и для предупреждения незаконности и нецелесообразности проведения фактов хозяйственной жизни (</w:t>
      </w:r>
      <w:proofErr w:type="gramStart"/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контроль за</w:t>
      </w:r>
      <w:proofErr w:type="gramEnd"/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 соответствием принимаемых бюджетных обязательств доведенным лимитам, за своевременным и правильным оформлением первичных документов, за законностью совершаемых операций, за правильностью оформления заключаемых договоров).</w:t>
      </w:r>
    </w:p>
    <w:p w:rsidR="00E34CFB" w:rsidRPr="00E34CFB" w:rsidRDefault="00E34CFB" w:rsidP="00A557B9">
      <w:pPr>
        <w:tabs>
          <w:tab w:val="left" w:pos="0"/>
          <w:tab w:val="left" w:pos="142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Предварительный контроль осуществля</w:t>
      </w:r>
      <w:r w:rsidR="00ED5785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ю</w:t>
      </w: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т </w:t>
      </w:r>
      <w:r w:rsidR="00ED5785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руководители Учреждений, их </w:t>
      </w: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заместители, директор и другие сотрудни</w:t>
      </w:r>
      <w:r w:rsidR="00ED5785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ки, ответственные за совершение </w:t>
      </w: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фактов хозяйственной жизни.</w:t>
      </w:r>
    </w:p>
    <w:p w:rsidR="00E34CFB" w:rsidRPr="00E34CFB" w:rsidRDefault="00E34CFB" w:rsidP="00A557B9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proofErr w:type="gramStart"/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Текущий - осуществляется в процессе совершения фактов хозяйственной жизни на стадии формирования, распределения и использования финансовых ресурсов для оперативного устранения недостатков</w:t>
      </w:r>
      <w:r w:rsidR="00A24042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 и</w:t>
      </w: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 </w:t>
      </w:r>
      <w:r w:rsidR="00A24042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в</w:t>
      </w: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ключает в себя контроль за исполнением бюджетной сметы, за исполнением текущих договорных обязательств, за суммами дебиторской и кредиторской задолженности, выявление и устранение ошибок и </w:t>
      </w: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lastRenderedPageBreak/>
        <w:t>неточностей, арифметическая и формальная проверка документов (проверка соблюдения финансовой дисциплины, принятие мер по предотвращению нарушений</w:t>
      </w:r>
      <w:proofErr w:type="gramEnd"/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, регулярный анализ кассового исполнения, анализ соответствия кассовых расходов фактически производимым расходам, инвентаризация кассы и имущества).</w:t>
      </w:r>
    </w:p>
    <w:p w:rsidR="00E34CFB" w:rsidRPr="00E34CFB" w:rsidRDefault="00ED5785" w:rsidP="00A557B9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Т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екущ</w:t>
      </w:r>
      <w:r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ий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 контрол</w:t>
      </w:r>
      <w:r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ь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 осуществляется на постоянной основе сотрудниками </w:t>
      </w:r>
      <w:r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 МКУ «ЦОД»</w:t>
      </w:r>
      <w:r w:rsidR="00E34CFB"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.</w:t>
      </w:r>
    </w:p>
    <w:p w:rsidR="00E34CFB" w:rsidRPr="00E34CFB" w:rsidRDefault="00E34CFB" w:rsidP="00A557B9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proofErr w:type="gramStart"/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Последующий - проводится по итогам совершения хозяйственных операций для установления достоверности отчетных данных и осуществляется путем анализа и проверки бухгалтерской документации и отчетности, выявления нарушений и принятия мер по их устранению (контроль за соответствием перечня полученных товаров, работ, услуг перечню оплаченных согласно заключенным договорам (муниципальным контрактам), проведение инвентаризации основных средств, материальных ценностей при подготовке годовой отчетности).</w:t>
      </w:r>
      <w:proofErr w:type="gramEnd"/>
    </w:p>
    <w:p w:rsidR="00E34CFB" w:rsidRPr="00E34CFB" w:rsidRDefault="00E34CFB" w:rsidP="0072195C">
      <w:pPr>
        <w:tabs>
          <w:tab w:val="left" w:pos="1065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  <w:r w:rsidRPr="00E34CFB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При проведении последующего контроля участвуют </w:t>
      </w:r>
      <w:r w:rsidR="00A24042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 xml:space="preserve">сотрудники </w:t>
      </w:r>
      <w:r w:rsidR="00ED5785"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  <w:t>МКУ «ЦОД».</w:t>
      </w:r>
    </w:p>
    <w:p w:rsidR="00E34CFB" w:rsidRDefault="00E34CFB" w:rsidP="00A557B9">
      <w:pPr>
        <w:tabs>
          <w:tab w:val="left" w:pos="1065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</w:p>
    <w:p w:rsidR="00507087" w:rsidRPr="0072195C" w:rsidRDefault="0072195C" w:rsidP="00532172">
      <w:pPr>
        <w:tabs>
          <w:tab w:val="left" w:pos="1065"/>
        </w:tabs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b/>
          <w:bCs/>
          <w:color w:val="252525"/>
          <w:spacing w:val="-1"/>
          <w:sz w:val="32"/>
          <w:szCs w:val="32"/>
          <w:lang w:eastAsia="ru-RU"/>
        </w:rPr>
      </w:pPr>
      <w:r w:rsidRPr="0072195C">
        <w:rPr>
          <w:rFonts w:ascii="Times New Roman" w:eastAsia="Times New Roman" w:hAnsi="Times New Roman" w:cs="Times New Roman"/>
          <w:b/>
          <w:bCs/>
          <w:color w:val="252525"/>
          <w:spacing w:val="-1"/>
          <w:sz w:val="32"/>
          <w:szCs w:val="32"/>
          <w:lang w:eastAsia="ru-RU"/>
        </w:rPr>
        <w:t>7</w:t>
      </w:r>
      <w:r w:rsidR="00E34CFB" w:rsidRPr="0072195C">
        <w:rPr>
          <w:rFonts w:ascii="Times New Roman" w:eastAsia="Times New Roman" w:hAnsi="Times New Roman" w:cs="Times New Roman"/>
          <w:b/>
          <w:bCs/>
          <w:color w:val="252525"/>
          <w:spacing w:val="-1"/>
          <w:sz w:val="32"/>
          <w:szCs w:val="32"/>
          <w:lang w:eastAsia="ru-RU"/>
        </w:rPr>
        <w:t xml:space="preserve">. </w:t>
      </w:r>
      <w:r w:rsidR="008A23C9" w:rsidRPr="0072195C">
        <w:rPr>
          <w:rFonts w:ascii="Times New Roman" w:eastAsia="Times New Roman" w:hAnsi="Times New Roman" w:cs="Times New Roman"/>
          <w:b/>
          <w:bCs/>
          <w:color w:val="252525"/>
          <w:spacing w:val="-1"/>
          <w:sz w:val="32"/>
          <w:szCs w:val="32"/>
          <w:lang w:eastAsia="ru-RU"/>
        </w:rPr>
        <w:t>Порядок в</w:t>
      </w:r>
      <w:r w:rsidR="00507087" w:rsidRPr="0072195C">
        <w:rPr>
          <w:rFonts w:ascii="Times New Roman" w:eastAsia="Times New Roman" w:hAnsi="Times New Roman" w:cs="Times New Roman"/>
          <w:b/>
          <w:bCs/>
          <w:color w:val="252525"/>
          <w:spacing w:val="-1"/>
          <w:sz w:val="32"/>
          <w:szCs w:val="32"/>
          <w:lang w:eastAsia="ru-RU"/>
        </w:rPr>
        <w:t>несения изменений в единую учетную политику</w:t>
      </w:r>
    </w:p>
    <w:p w:rsidR="00064ADD" w:rsidRDefault="00064ADD" w:rsidP="00A557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52525"/>
          <w:spacing w:val="-1"/>
          <w:sz w:val="28"/>
          <w:szCs w:val="28"/>
          <w:lang w:eastAsia="ru-RU"/>
        </w:rPr>
      </w:pPr>
    </w:p>
    <w:p w:rsidR="00507087" w:rsidRPr="00A74024" w:rsidRDefault="00507087" w:rsidP="00064A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в единую учетную политику осуществляется </w:t>
      </w:r>
      <w:r w:rsidR="006A47E4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«ЦОД» </w:t>
      </w:r>
      <w:r w:rsidR="00A74024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издания приказа </w:t>
      </w:r>
      <w:r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случаях:</w:t>
      </w:r>
    </w:p>
    <w:p w:rsidR="00507087" w:rsidRPr="00A74024" w:rsidRDefault="00064ADD" w:rsidP="00064ADD">
      <w:pPr>
        <w:pStyle w:val="ac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7087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законодательства Российской Федерации о бухгалтерском учете, бюджетного законодательства Российской Федерации, нормативных правовых актов, регулирующих ведение бухгалтерского (бюджетного) учета и составление бухгалтерской (финансовой) отчетности;</w:t>
      </w:r>
    </w:p>
    <w:p w:rsidR="00507087" w:rsidRPr="00A74024" w:rsidRDefault="00064ADD" w:rsidP="00064ADD">
      <w:pPr>
        <w:pStyle w:val="ac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7087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существенного изменения условий деятельности </w:t>
      </w:r>
      <w:r w:rsidR="006A47E4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«ЦОД»</w:t>
      </w:r>
      <w:r w:rsidR="00507087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</w:t>
      </w:r>
      <w:r w:rsidR="006A47E4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507087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реорганизацию, ликвидацию (упразднение), изменение возложенных на н</w:t>
      </w:r>
      <w:r w:rsidR="006A47E4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507087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 и (или) выполняемых им функций;</w:t>
      </w:r>
    </w:p>
    <w:p w:rsidR="00507087" w:rsidRPr="00A74024" w:rsidRDefault="00064ADD" w:rsidP="00064ADD">
      <w:pPr>
        <w:pStyle w:val="ac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7087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предложений по совершенствованию методов ведения бухгалтерского учета от </w:t>
      </w:r>
      <w:r w:rsidR="006A47E4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 </w:t>
      </w:r>
      <w:r w:rsidR="00507087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их информацией об активах, обязательствах и финансовом результате, необходимой для исполн</w:t>
      </w:r>
      <w:r w:rsidR="006A47E4"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возложенных на них функций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5785" w:rsidRPr="00557F31" w:rsidRDefault="00507087" w:rsidP="00064A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0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бухгалтерского учета применяются с начала отчетного года, если иное не обусловлива</w:t>
      </w:r>
      <w:r w:rsidR="00557F31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причиной такого изменен</w:t>
      </w:r>
      <w:r w:rsidR="00064ADD">
        <w:rPr>
          <w:rFonts w:ascii="Times New Roman" w:eastAsia="Times New Roman" w:hAnsi="Times New Roman" w:cs="Times New Roman"/>
          <w:sz w:val="28"/>
          <w:szCs w:val="28"/>
          <w:lang w:eastAsia="ru-RU"/>
        </w:rPr>
        <w:t>ия.</w:t>
      </w:r>
    </w:p>
    <w:p w:rsidR="00064ADD" w:rsidRDefault="00064ADD"/>
    <w:sectPr w:rsidR="00064ADD" w:rsidSect="00567F0A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45D" w:rsidRDefault="009C245D" w:rsidP="00273DD4">
      <w:pPr>
        <w:spacing w:after="0" w:line="240" w:lineRule="auto"/>
      </w:pPr>
      <w:r>
        <w:separator/>
      </w:r>
    </w:p>
  </w:endnote>
  <w:endnote w:type="continuationSeparator" w:id="0">
    <w:p w:rsidR="009C245D" w:rsidRDefault="009C245D" w:rsidP="00273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45D" w:rsidRDefault="009C245D" w:rsidP="00273DD4">
      <w:pPr>
        <w:spacing w:after="0" w:line="240" w:lineRule="auto"/>
      </w:pPr>
      <w:r>
        <w:separator/>
      </w:r>
    </w:p>
  </w:footnote>
  <w:footnote w:type="continuationSeparator" w:id="0">
    <w:p w:rsidR="009C245D" w:rsidRDefault="009C245D" w:rsidP="00273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937D3"/>
    <w:multiLevelType w:val="multilevel"/>
    <w:tmpl w:val="BA98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D40A1"/>
    <w:multiLevelType w:val="multilevel"/>
    <w:tmpl w:val="5B8EC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A2EB8"/>
    <w:multiLevelType w:val="hybridMultilevel"/>
    <w:tmpl w:val="D0FE5A0C"/>
    <w:lvl w:ilvl="0" w:tplc="680AA782">
      <w:start w:val="3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6657271"/>
    <w:multiLevelType w:val="multilevel"/>
    <w:tmpl w:val="3D0A2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AD03BC"/>
    <w:multiLevelType w:val="multilevel"/>
    <w:tmpl w:val="071A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9C2CAC"/>
    <w:multiLevelType w:val="multilevel"/>
    <w:tmpl w:val="0BAE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451A37"/>
    <w:multiLevelType w:val="multilevel"/>
    <w:tmpl w:val="E4C4B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2F5964"/>
    <w:multiLevelType w:val="multilevel"/>
    <w:tmpl w:val="1338A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5F547F"/>
    <w:multiLevelType w:val="multilevel"/>
    <w:tmpl w:val="98EAB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BE01BA"/>
    <w:multiLevelType w:val="multilevel"/>
    <w:tmpl w:val="F3FE0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CC2E1B"/>
    <w:multiLevelType w:val="multilevel"/>
    <w:tmpl w:val="D5E41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69001C"/>
    <w:multiLevelType w:val="multilevel"/>
    <w:tmpl w:val="B276E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B03254"/>
    <w:multiLevelType w:val="hybridMultilevel"/>
    <w:tmpl w:val="C4D49432"/>
    <w:lvl w:ilvl="0" w:tplc="195639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A70D41"/>
    <w:multiLevelType w:val="hybridMultilevel"/>
    <w:tmpl w:val="CCAC6356"/>
    <w:lvl w:ilvl="0" w:tplc="CCCA1166">
      <w:start w:val="3"/>
      <w:numFmt w:val="decimal"/>
      <w:lvlText w:val="%1."/>
      <w:lvlJc w:val="left"/>
      <w:pPr>
        <w:ind w:left="79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21921324"/>
    <w:multiLevelType w:val="multilevel"/>
    <w:tmpl w:val="2026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C646C7"/>
    <w:multiLevelType w:val="multilevel"/>
    <w:tmpl w:val="ECEEF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435339"/>
    <w:multiLevelType w:val="multilevel"/>
    <w:tmpl w:val="FDDEF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24173F"/>
    <w:multiLevelType w:val="multilevel"/>
    <w:tmpl w:val="017C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207AE5"/>
    <w:multiLevelType w:val="hybridMultilevel"/>
    <w:tmpl w:val="2DD0D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16224F"/>
    <w:multiLevelType w:val="multilevel"/>
    <w:tmpl w:val="BEE87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6E1894"/>
    <w:multiLevelType w:val="multilevel"/>
    <w:tmpl w:val="4EEC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2B62E5E"/>
    <w:multiLevelType w:val="multilevel"/>
    <w:tmpl w:val="ECEEF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CC43E5"/>
    <w:multiLevelType w:val="multilevel"/>
    <w:tmpl w:val="B7364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8B77C1B"/>
    <w:multiLevelType w:val="multilevel"/>
    <w:tmpl w:val="D18C9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62052E"/>
    <w:multiLevelType w:val="multilevel"/>
    <w:tmpl w:val="C9D8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05E0E"/>
    <w:multiLevelType w:val="multilevel"/>
    <w:tmpl w:val="0FBAA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D07BC1"/>
    <w:multiLevelType w:val="multilevel"/>
    <w:tmpl w:val="F2007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BE26E0"/>
    <w:multiLevelType w:val="multilevel"/>
    <w:tmpl w:val="4A121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3219A2"/>
    <w:multiLevelType w:val="multilevel"/>
    <w:tmpl w:val="23283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D16F56"/>
    <w:multiLevelType w:val="multilevel"/>
    <w:tmpl w:val="F3664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D763FA"/>
    <w:multiLevelType w:val="multilevel"/>
    <w:tmpl w:val="4F20D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430A8D"/>
    <w:multiLevelType w:val="multilevel"/>
    <w:tmpl w:val="01CAF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FE0944"/>
    <w:multiLevelType w:val="multilevel"/>
    <w:tmpl w:val="6F20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46539A"/>
    <w:multiLevelType w:val="multilevel"/>
    <w:tmpl w:val="ECEEF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8868AB"/>
    <w:multiLevelType w:val="multilevel"/>
    <w:tmpl w:val="85DCB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A631DE7"/>
    <w:multiLevelType w:val="multilevel"/>
    <w:tmpl w:val="B764E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C59707B"/>
    <w:multiLevelType w:val="hybridMultilevel"/>
    <w:tmpl w:val="498E20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EDF3303"/>
    <w:multiLevelType w:val="multilevel"/>
    <w:tmpl w:val="05B2E4F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8">
    <w:nsid w:val="74E71368"/>
    <w:multiLevelType w:val="multilevel"/>
    <w:tmpl w:val="59BA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2"/>
  </w:num>
  <w:num w:numId="3">
    <w:abstractNumId w:val="16"/>
  </w:num>
  <w:num w:numId="4">
    <w:abstractNumId w:val="6"/>
  </w:num>
  <w:num w:numId="5">
    <w:abstractNumId w:val="34"/>
  </w:num>
  <w:num w:numId="6">
    <w:abstractNumId w:val="14"/>
  </w:num>
  <w:num w:numId="7">
    <w:abstractNumId w:val="29"/>
  </w:num>
  <w:num w:numId="8">
    <w:abstractNumId w:val="38"/>
  </w:num>
  <w:num w:numId="9">
    <w:abstractNumId w:val="32"/>
  </w:num>
  <w:num w:numId="10">
    <w:abstractNumId w:val="19"/>
  </w:num>
  <w:num w:numId="11">
    <w:abstractNumId w:val="5"/>
  </w:num>
  <w:num w:numId="12">
    <w:abstractNumId w:val="3"/>
  </w:num>
  <w:num w:numId="13">
    <w:abstractNumId w:val="28"/>
  </w:num>
  <w:num w:numId="14">
    <w:abstractNumId w:val="1"/>
  </w:num>
  <w:num w:numId="15">
    <w:abstractNumId w:val="24"/>
  </w:num>
  <w:num w:numId="16">
    <w:abstractNumId w:val="20"/>
  </w:num>
  <w:num w:numId="17">
    <w:abstractNumId w:val="27"/>
  </w:num>
  <w:num w:numId="18">
    <w:abstractNumId w:val="17"/>
  </w:num>
  <w:num w:numId="19">
    <w:abstractNumId w:val="4"/>
  </w:num>
  <w:num w:numId="20">
    <w:abstractNumId w:val="35"/>
  </w:num>
  <w:num w:numId="21">
    <w:abstractNumId w:val="8"/>
  </w:num>
  <w:num w:numId="22">
    <w:abstractNumId w:val="7"/>
  </w:num>
  <w:num w:numId="23">
    <w:abstractNumId w:val="11"/>
  </w:num>
  <w:num w:numId="24">
    <w:abstractNumId w:val="33"/>
  </w:num>
  <w:num w:numId="25">
    <w:abstractNumId w:val="30"/>
  </w:num>
  <w:num w:numId="26">
    <w:abstractNumId w:val="9"/>
  </w:num>
  <w:num w:numId="27">
    <w:abstractNumId w:val="26"/>
  </w:num>
  <w:num w:numId="28">
    <w:abstractNumId w:val="23"/>
  </w:num>
  <w:num w:numId="29">
    <w:abstractNumId w:val="25"/>
  </w:num>
  <w:num w:numId="30">
    <w:abstractNumId w:val="10"/>
  </w:num>
  <w:num w:numId="31">
    <w:abstractNumId w:val="31"/>
  </w:num>
  <w:num w:numId="32">
    <w:abstractNumId w:val="37"/>
  </w:num>
  <w:num w:numId="33">
    <w:abstractNumId w:val="21"/>
  </w:num>
  <w:num w:numId="34">
    <w:abstractNumId w:val="15"/>
  </w:num>
  <w:num w:numId="35">
    <w:abstractNumId w:val="13"/>
  </w:num>
  <w:num w:numId="36">
    <w:abstractNumId w:val="2"/>
  </w:num>
  <w:num w:numId="37">
    <w:abstractNumId w:val="12"/>
  </w:num>
  <w:num w:numId="38">
    <w:abstractNumId w:val="36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913"/>
    <w:rsid w:val="00021957"/>
    <w:rsid w:val="000335CD"/>
    <w:rsid w:val="00041A58"/>
    <w:rsid w:val="00053161"/>
    <w:rsid w:val="000537BA"/>
    <w:rsid w:val="00064ADD"/>
    <w:rsid w:val="0008071E"/>
    <w:rsid w:val="00082CB9"/>
    <w:rsid w:val="000842C7"/>
    <w:rsid w:val="00086C43"/>
    <w:rsid w:val="00091CCF"/>
    <w:rsid w:val="00094556"/>
    <w:rsid w:val="000A420A"/>
    <w:rsid w:val="000B136E"/>
    <w:rsid w:val="000C6523"/>
    <w:rsid w:val="000D182B"/>
    <w:rsid w:val="000D291B"/>
    <w:rsid w:val="000F0121"/>
    <w:rsid w:val="001048B9"/>
    <w:rsid w:val="00111494"/>
    <w:rsid w:val="00117065"/>
    <w:rsid w:val="001326EF"/>
    <w:rsid w:val="00147B16"/>
    <w:rsid w:val="00153464"/>
    <w:rsid w:val="00157835"/>
    <w:rsid w:val="0016694F"/>
    <w:rsid w:val="00171EF3"/>
    <w:rsid w:val="001742C3"/>
    <w:rsid w:val="0017645F"/>
    <w:rsid w:val="00184897"/>
    <w:rsid w:val="001962E8"/>
    <w:rsid w:val="001A36A1"/>
    <w:rsid w:val="001B35F6"/>
    <w:rsid w:val="001C2A7D"/>
    <w:rsid w:val="001F2287"/>
    <w:rsid w:val="001F36E8"/>
    <w:rsid w:val="001F7AD7"/>
    <w:rsid w:val="00202574"/>
    <w:rsid w:val="0020264D"/>
    <w:rsid w:val="00207C33"/>
    <w:rsid w:val="00210074"/>
    <w:rsid w:val="002124C8"/>
    <w:rsid w:val="002142EF"/>
    <w:rsid w:val="00214F48"/>
    <w:rsid w:val="002225DD"/>
    <w:rsid w:val="002562B9"/>
    <w:rsid w:val="0027100B"/>
    <w:rsid w:val="00273DD4"/>
    <w:rsid w:val="00283A1A"/>
    <w:rsid w:val="00285662"/>
    <w:rsid w:val="00291953"/>
    <w:rsid w:val="00295A7F"/>
    <w:rsid w:val="002B66D6"/>
    <w:rsid w:val="002C126F"/>
    <w:rsid w:val="002C4B04"/>
    <w:rsid w:val="002D0D08"/>
    <w:rsid w:val="002F56AF"/>
    <w:rsid w:val="002F7F91"/>
    <w:rsid w:val="003019CA"/>
    <w:rsid w:val="00302A2A"/>
    <w:rsid w:val="003155D2"/>
    <w:rsid w:val="003160DC"/>
    <w:rsid w:val="00321AD2"/>
    <w:rsid w:val="00321B01"/>
    <w:rsid w:val="00340DA0"/>
    <w:rsid w:val="003511F2"/>
    <w:rsid w:val="00354EE2"/>
    <w:rsid w:val="00357EFC"/>
    <w:rsid w:val="00386936"/>
    <w:rsid w:val="003876CD"/>
    <w:rsid w:val="003D3817"/>
    <w:rsid w:val="003E028A"/>
    <w:rsid w:val="003E653C"/>
    <w:rsid w:val="0041030B"/>
    <w:rsid w:val="00415DBA"/>
    <w:rsid w:val="00425281"/>
    <w:rsid w:val="00434913"/>
    <w:rsid w:val="00437A81"/>
    <w:rsid w:val="00440C2E"/>
    <w:rsid w:val="004516A7"/>
    <w:rsid w:val="0045311A"/>
    <w:rsid w:val="00471CE2"/>
    <w:rsid w:val="00474DC0"/>
    <w:rsid w:val="00477425"/>
    <w:rsid w:val="00481A7C"/>
    <w:rsid w:val="00490292"/>
    <w:rsid w:val="00490C7F"/>
    <w:rsid w:val="00495267"/>
    <w:rsid w:val="004A231B"/>
    <w:rsid w:val="004A3CEC"/>
    <w:rsid w:val="004D37D5"/>
    <w:rsid w:val="004D3D6B"/>
    <w:rsid w:val="004D54EB"/>
    <w:rsid w:val="004E2FA9"/>
    <w:rsid w:val="00507087"/>
    <w:rsid w:val="00513387"/>
    <w:rsid w:val="00513CD8"/>
    <w:rsid w:val="00515A70"/>
    <w:rsid w:val="005239C7"/>
    <w:rsid w:val="005242E9"/>
    <w:rsid w:val="00532172"/>
    <w:rsid w:val="005418A3"/>
    <w:rsid w:val="005450FF"/>
    <w:rsid w:val="0054707D"/>
    <w:rsid w:val="00552C30"/>
    <w:rsid w:val="00554BAB"/>
    <w:rsid w:val="00557F31"/>
    <w:rsid w:val="00561B91"/>
    <w:rsid w:val="00565F78"/>
    <w:rsid w:val="00567F0A"/>
    <w:rsid w:val="00592F62"/>
    <w:rsid w:val="00593C83"/>
    <w:rsid w:val="005A305C"/>
    <w:rsid w:val="005A5A4C"/>
    <w:rsid w:val="005B7DB5"/>
    <w:rsid w:val="005C1681"/>
    <w:rsid w:val="005D32B9"/>
    <w:rsid w:val="005D4453"/>
    <w:rsid w:val="005E3200"/>
    <w:rsid w:val="005E7D69"/>
    <w:rsid w:val="005F42AF"/>
    <w:rsid w:val="005F66AF"/>
    <w:rsid w:val="0060385B"/>
    <w:rsid w:val="0060517C"/>
    <w:rsid w:val="00611618"/>
    <w:rsid w:val="00624D7C"/>
    <w:rsid w:val="00635F4B"/>
    <w:rsid w:val="00651314"/>
    <w:rsid w:val="006604D7"/>
    <w:rsid w:val="00672E66"/>
    <w:rsid w:val="00687D9C"/>
    <w:rsid w:val="00692080"/>
    <w:rsid w:val="00696846"/>
    <w:rsid w:val="00697D85"/>
    <w:rsid w:val="006A47E4"/>
    <w:rsid w:val="006A5A96"/>
    <w:rsid w:val="006A6B5E"/>
    <w:rsid w:val="006B0E9B"/>
    <w:rsid w:val="006B724C"/>
    <w:rsid w:val="006C67C3"/>
    <w:rsid w:val="006D130E"/>
    <w:rsid w:val="006D7EA6"/>
    <w:rsid w:val="006E6A7B"/>
    <w:rsid w:val="006F1569"/>
    <w:rsid w:val="00707CAC"/>
    <w:rsid w:val="00717165"/>
    <w:rsid w:val="0072195C"/>
    <w:rsid w:val="007261A4"/>
    <w:rsid w:val="00733D80"/>
    <w:rsid w:val="00737FF3"/>
    <w:rsid w:val="00745A9E"/>
    <w:rsid w:val="00753C46"/>
    <w:rsid w:val="007569FD"/>
    <w:rsid w:val="00774792"/>
    <w:rsid w:val="00793F08"/>
    <w:rsid w:val="0079609C"/>
    <w:rsid w:val="007A2F41"/>
    <w:rsid w:val="007A4B45"/>
    <w:rsid w:val="007A6AB5"/>
    <w:rsid w:val="007A7AD7"/>
    <w:rsid w:val="007B6DF3"/>
    <w:rsid w:val="007C56B7"/>
    <w:rsid w:val="007D15C9"/>
    <w:rsid w:val="007D211D"/>
    <w:rsid w:val="007D4463"/>
    <w:rsid w:val="007E2DA0"/>
    <w:rsid w:val="007E39D5"/>
    <w:rsid w:val="007E5277"/>
    <w:rsid w:val="0080760F"/>
    <w:rsid w:val="0081131D"/>
    <w:rsid w:val="00815DA2"/>
    <w:rsid w:val="0082475B"/>
    <w:rsid w:val="0083096B"/>
    <w:rsid w:val="00841A14"/>
    <w:rsid w:val="008427B8"/>
    <w:rsid w:val="00842E28"/>
    <w:rsid w:val="00843809"/>
    <w:rsid w:val="00846735"/>
    <w:rsid w:val="00846AAD"/>
    <w:rsid w:val="00846EB3"/>
    <w:rsid w:val="008557C8"/>
    <w:rsid w:val="00861BAE"/>
    <w:rsid w:val="00861E87"/>
    <w:rsid w:val="008641A0"/>
    <w:rsid w:val="008665F9"/>
    <w:rsid w:val="00866F69"/>
    <w:rsid w:val="00870056"/>
    <w:rsid w:val="00874DE8"/>
    <w:rsid w:val="008761F0"/>
    <w:rsid w:val="00880187"/>
    <w:rsid w:val="0089114E"/>
    <w:rsid w:val="0089546F"/>
    <w:rsid w:val="008A23C9"/>
    <w:rsid w:val="008A6CD8"/>
    <w:rsid w:val="008C3D93"/>
    <w:rsid w:val="008F7AA3"/>
    <w:rsid w:val="00901A8F"/>
    <w:rsid w:val="00903150"/>
    <w:rsid w:val="0090762D"/>
    <w:rsid w:val="009231AE"/>
    <w:rsid w:val="00925F17"/>
    <w:rsid w:val="0092781C"/>
    <w:rsid w:val="00933EBB"/>
    <w:rsid w:val="0093437F"/>
    <w:rsid w:val="00961C24"/>
    <w:rsid w:val="0098219E"/>
    <w:rsid w:val="00982E59"/>
    <w:rsid w:val="00984BBB"/>
    <w:rsid w:val="00991259"/>
    <w:rsid w:val="009947D3"/>
    <w:rsid w:val="009A3E33"/>
    <w:rsid w:val="009B21D3"/>
    <w:rsid w:val="009B5891"/>
    <w:rsid w:val="009C245D"/>
    <w:rsid w:val="009C4629"/>
    <w:rsid w:val="009C5344"/>
    <w:rsid w:val="009F5AA3"/>
    <w:rsid w:val="00A0576E"/>
    <w:rsid w:val="00A12E0F"/>
    <w:rsid w:val="00A14369"/>
    <w:rsid w:val="00A17EB4"/>
    <w:rsid w:val="00A2152F"/>
    <w:rsid w:val="00A24042"/>
    <w:rsid w:val="00A34A70"/>
    <w:rsid w:val="00A35674"/>
    <w:rsid w:val="00A36318"/>
    <w:rsid w:val="00A441B9"/>
    <w:rsid w:val="00A461FE"/>
    <w:rsid w:val="00A477C6"/>
    <w:rsid w:val="00A557B9"/>
    <w:rsid w:val="00A55BA9"/>
    <w:rsid w:val="00A570FD"/>
    <w:rsid w:val="00A60B90"/>
    <w:rsid w:val="00A74024"/>
    <w:rsid w:val="00A77EE8"/>
    <w:rsid w:val="00A8549E"/>
    <w:rsid w:val="00A8661D"/>
    <w:rsid w:val="00A914FC"/>
    <w:rsid w:val="00A97038"/>
    <w:rsid w:val="00AA1B49"/>
    <w:rsid w:val="00AA3484"/>
    <w:rsid w:val="00AA3B0A"/>
    <w:rsid w:val="00AB0212"/>
    <w:rsid w:val="00AB0A94"/>
    <w:rsid w:val="00AC4629"/>
    <w:rsid w:val="00AD6CCE"/>
    <w:rsid w:val="00AD7623"/>
    <w:rsid w:val="00AD7C9E"/>
    <w:rsid w:val="00AE3ABE"/>
    <w:rsid w:val="00AF0C8E"/>
    <w:rsid w:val="00AF4F3C"/>
    <w:rsid w:val="00B20B81"/>
    <w:rsid w:val="00B256D9"/>
    <w:rsid w:val="00B317E8"/>
    <w:rsid w:val="00B63908"/>
    <w:rsid w:val="00B64029"/>
    <w:rsid w:val="00B7297E"/>
    <w:rsid w:val="00B73816"/>
    <w:rsid w:val="00B80BD3"/>
    <w:rsid w:val="00B8595D"/>
    <w:rsid w:val="00B8645E"/>
    <w:rsid w:val="00B93EEB"/>
    <w:rsid w:val="00B95C88"/>
    <w:rsid w:val="00BA5B0B"/>
    <w:rsid w:val="00BD0380"/>
    <w:rsid w:val="00BE1CB5"/>
    <w:rsid w:val="00BE7985"/>
    <w:rsid w:val="00BF2632"/>
    <w:rsid w:val="00BF2B30"/>
    <w:rsid w:val="00C02107"/>
    <w:rsid w:val="00C273C4"/>
    <w:rsid w:val="00C35299"/>
    <w:rsid w:val="00C437F9"/>
    <w:rsid w:val="00C52A97"/>
    <w:rsid w:val="00C53CD9"/>
    <w:rsid w:val="00C66584"/>
    <w:rsid w:val="00C83D03"/>
    <w:rsid w:val="00C84582"/>
    <w:rsid w:val="00C92DA0"/>
    <w:rsid w:val="00CA13DE"/>
    <w:rsid w:val="00CB1F3B"/>
    <w:rsid w:val="00CB6892"/>
    <w:rsid w:val="00CC126B"/>
    <w:rsid w:val="00CC2C49"/>
    <w:rsid w:val="00CC50B8"/>
    <w:rsid w:val="00CC5D4F"/>
    <w:rsid w:val="00CC7B21"/>
    <w:rsid w:val="00CD0F36"/>
    <w:rsid w:val="00CD6050"/>
    <w:rsid w:val="00CD700B"/>
    <w:rsid w:val="00CE3889"/>
    <w:rsid w:val="00CE722B"/>
    <w:rsid w:val="00D057CE"/>
    <w:rsid w:val="00D11377"/>
    <w:rsid w:val="00D14A1E"/>
    <w:rsid w:val="00D33FB1"/>
    <w:rsid w:val="00D347E2"/>
    <w:rsid w:val="00D460BB"/>
    <w:rsid w:val="00D4630F"/>
    <w:rsid w:val="00D5193C"/>
    <w:rsid w:val="00D57970"/>
    <w:rsid w:val="00D73D93"/>
    <w:rsid w:val="00D763D5"/>
    <w:rsid w:val="00D829E1"/>
    <w:rsid w:val="00D82B7B"/>
    <w:rsid w:val="00DA51E6"/>
    <w:rsid w:val="00DA7B20"/>
    <w:rsid w:val="00DA7ECE"/>
    <w:rsid w:val="00DB4785"/>
    <w:rsid w:val="00DC3231"/>
    <w:rsid w:val="00DC4B96"/>
    <w:rsid w:val="00DC5921"/>
    <w:rsid w:val="00DC5EF3"/>
    <w:rsid w:val="00DC7452"/>
    <w:rsid w:val="00DD4933"/>
    <w:rsid w:val="00DD7D3E"/>
    <w:rsid w:val="00DF18A2"/>
    <w:rsid w:val="00DF4600"/>
    <w:rsid w:val="00DF4FD2"/>
    <w:rsid w:val="00DF6AC5"/>
    <w:rsid w:val="00E021EA"/>
    <w:rsid w:val="00E04B58"/>
    <w:rsid w:val="00E10122"/>
    <w:rsid w:val="00E1162D"/>
    <w:rsid w:val="00E166BB"/>
    <w:rsid w:val="00E34CFB"/>
    <w:rsid w:val="00E521B0"/>
    <w:rsid w:val="00E569C4"/>
    <w:rsid w:val="00E71A14"/>
    <w:rsid w:val="00E74DF3"/>
    <w:rsid w:val="00E769BD"/>
    <w:rsid w:val="00E80CF7"/>
    <w:rsid w:val="00E81188"/>
    <w:rsid w:val="00E826AA"/>
    <w:rsid w:val="00E8708E"/>
    <w:rsid w:val="00E94D52"/>
    <w:rsid w:val="00E95E11"/>
    <w:rsid w:val="00E972FB"/>
    <w:rsid w:val="00EC06D3"/>
    <w:rsid w:val="00ED5785"/>
    <w:rsid w:val="00ED647C"/>
    <w:rsid w:val="00EE6AF6"/>
    <w:rsid w:val="00F002DA"/>
    <w:rsid w:val="00F16D4E"/>
    <w:rsid w:val="00F1792F"/>
    <w:rsid w:val="00F205B5"/>
    <w:rsid w:val="00F22D63"/>
    <w:rsid w:val="00F31EB5"/>
    <w:rsid w:val="00F37432"/>
    <w:rsid w:val="00F4144C"/>
    <w:rsid w:val="00F52C89"/>
    <w:rsid w:val="00F53F47"/>
    <w:rsid w:val="00F543E3"/>
    <w:rsid w:val="00F61E69"/>
    <w:rsid w:val="00F64925"/>
    <w:rsid w:val="00F67F3D"/>
    <w:rsid w:val="00F70607"/>
    <w:rsid w:val="00F81EF0"/>
    <w:rsid w:val="00F9207D"/>
    <w:rsid w:val="00F95D2D"/>
    <w:rsid w:val="00FC06C3"/>
    <w:rsid w:val="00FD20F6"/>
    <w:rsid w:val="00FD5A82"/>
    <w:rsid w:val="00FE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953"/>
  </w:style>
  <w:style w:type="paragraph" w:styleId="2">
    <w:name w:val="heading 2"/>
    <w:basedOn w:val="a"/>
    <w:link w:val="20"/>
    <w:uiPriority w:val="9"/>
    <w:qFormat/>
    <w:rsid w:val="005070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070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70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70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07087"/>
  </w:style>
  <w:style w:type="character" w:customStyle="1" w:styleId="fill">
    <w:name w:val="fill"/>
    <w:basedOn w:val="a0"/>
    <w:rsid w:val="00507087"/>
  </w:style>
  <w:style w:type="paragraph" w:styleId="a3">
    <w:name w:val="Normal (Web)"/>
    <w:basedOn w:val="a"/>
    <w:uiPriority w:val="99"/>
    <w:unhideWhenUsed/>
    <w:rsid w:val="0050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wc">
    <w:name w:val="sfwc"/>
    <w:basedOn w:val="a0"/>
    <w:rsid w:val="00507087"/>
  </w:style>
  <w:style w:type="character" w:customStyle="1" w:styleId="tooltippoint">
    <w:name w:val="tooltip__point"/>
    <w:basedOn w:val="a0"/>
    <w:rsid w:val="00507087"/>
  </w:style>
  <w:style w:type="character" w:customStyle="1" w:styleId="tooltiptext">
    <w:name w:val="tooltip_text"/>
    <w:basedOn w:val="a0"/>
    <w:rsid w:val="00507087"/>
  </w:style>
  <w:style w:type="character" w:styleId="a4">
    <w:name w:val="Hyperlink"/>
    <w:basedOn w:val="a0"/>
    <w:uiPriority w:val="99"/>
    <w:semiHidden/>
    <w:unhideWhenUsed/>
    <w:rsid w:val="0050708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07087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070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0708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507087"/>
    <w:rPr>
      <w:b/>
      <w:bCs/>
    </w:rPr>
  </w:style>
  <w:style w:type="paragraph" w:styleId="a7">
    <w:name w:val="header"/>
    <w:basedOn w:val="a"/>
    <w:link w:val="a8"/>
    <w:uiPriority w:val="99"/>
    <w:unhideWhenUsed/>
    <w:rsid w:val="00273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3DD4"/>
  </w:style>
  <w:style w:type="paragraph" w:styleId="a9">
    <w:name w:val="footer"/>
    <w:basedOn w:val="a"/>
    <w:link w:val="aa"/>
    <w:uiPriority w:val="99"/>
    <w:unhideWhenUsed/>
    <w:rsid w:val="00273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3DD4"/>
  </w:style>
  <w:style w:type="table" w:styleId="ab">
    <w:name w:val="Table Grid"/>
    <w:basedOn w:val="a1"/>
    <w:uiPriority w:val="59"/>
    <w:rsid w:val="00273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8566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F61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61E6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D605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953"/>
  </w:style>
  <w:style w:type="paragraph" w:styleId="2">
    <w:name w:val="heading 2"/>
    <w:basedOn w:val="a"/>
    <w:link w:val="20"/>
    <w:uiPriority w:val="9"/>
    <w:qFormat/>
    <w:rsid w:val="005070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070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70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70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07087"/>
  </w:style>
  <w:style w:type="character" w:customStyle="1" w:styleId="fill">
    <w:name w:val="fill"/>
    <w:basedOn w:val="a0"/>
    <w:rsid w:val="00507087"/>
  </w:style>
  <w:style w:type="paragraph" w:styleId="a3">
    <w:name w:val="Normal (Web)"/>
    <w:basedOn w:val="a"/>
    <w:uiPriority w:val="99"/>
    <w:unhideWhenUsed/>
    <w:rsid w:val="0050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wc">
    <w:name w:val="sfwc"/>
    <w:basedOn w:val="a0"/>
    <w:rsid w:val="00507087"/>
  </w:style>
  <w:style w:type="character" w:customStyle="1" w:styleId="tooltippoint">
    <w:name w:val="tooltip__point"/>
    <w:basedOn w:val="a0"/>
    <w:rsid w:val="00507087"/>
  </w:style>
  <w:style w:type="character" w:customStyle="1" w:styleId="tooltiptext">
    <w:name w:val="tooltip_text"/>
    <w:basedOn w:val="a0"/>
    <w:rsid w:val="00507087"/>
  </w:style>
  <w:style w:type="character" w:styleId="a4">
    <w:name w:val="Hyperlink"/>
    <w:basedOn w:val="a0"/>
    <w:uiPriority w:val="99"/>
    <w:semiHidden/>
    <w:unhideWhenUsed/>
    <w:rsid w:val="0050708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07087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070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0708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507087"/>
    <w:rPr>
      <w:b/>
      <w:bCs/>
    </w:rPr>
  </w:style>
  <w:style w:type="paragraph" w:styleId="a7">
    <w:name w:val="header"/>
    <w:basedOn w:val="a"/>
    <w:link w:val="a8"/>
    <w:uiPriority w:val="99"/>
    <w:unhideWhenUsed/>
    <w:rsid w:val="00273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3DD4"/>
  </w:style>
  <w:style w:type="paragraph" w:styleId="a9">
    <w:name w:val="footer"/>
    <w:basedOn w:val="a"/>
    <w:link w:val="aa"/>
    <w:uiPriority w:val="99"/>
    <w:unhideWhenUsed/>
    <w:rsid w:val="00273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3DD4"/>
  </w:style>
  <w:style w:type="table" w:styleId="ab">
    <w:name w:val="Table Grid"/>
    <w:basedOn w:val="a1"/>
    <w:uiPriority w:val="59"/>
    <w:rsid w:val="00273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8566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F61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61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9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5B8AC7E35BA309F1CFA1A526A0DB01F711316B49B5E858BAD38BA89B5A80783792497D38F57243F6B4C4842DC501718133E15C277B7F" TargetMode="External"/><Relationship Id="rId18" Type="http://schemas.openxmlformats.org/officeDocument/2006/relationships/hyperlink" Target="consultantplus://offline/ref=723F7DDD80913ABC4575713B8F0AD395C82AB69C3D6F763ADB2FACBF72E507A76927369E3BA0C0939423B242EEAB0BD47E866330A801z8o2H" TargetMode="External"/><Relationship Id="rId26" Type="http://schemas.openxmlformats.org/officeDocument/2006/relationships/hyperlink" Target="consultantplus://offline/ref=D9A629398230AD536E0B94B7FC1DE307D9897DBF6340E342D745D63765E60B9BF6AB532E4231270435565E51F417E5955CE00DD0A8B721F0mE62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9A629398230AD536E0B94B7FC1DE307D9897DBF6340E342D745D63765E60B9BF6AB532E4231270435565E51F417E5955CE00DD0A8B721F0mE62E" TargetMode="External"/><Relationship Id="rId34" Type="http://schemas.openxmlformats.org/officeDocument/2006/relationships/hyperlink" Target="https://plus.gosfinansy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56E95A9818E9ACD6AD778E066034D93720EA909C9C91C77F8FC914134F2174802E498FD2AD602B32151D7B301414BB50F23290CE3691E67S8A9F" TargetMode="External"/><Relationship Id="rId17" Type="http://schemas.openxmlformats.org/officeDocument/2006/relationships/hyperlink" Target="consultantplus://offline/ref=43E1D748834FEB4988F54F1DC7FBA77CB0C8929E120DA5D3FC062FA3B2525A08A2DE4F7519F28BDB52618391407631CFDAC12C642E63XAeEH" TargetMode="External"/><Relationship Id="rId25" Type="http://schemas.openxmlformats.org/officeDocument/2006/relationships/hyperlink" Target="consultantplus://offline/ref=846DAA86F098A3E240AB12E3023A124055927EEB5C1D2B4D2954F75850C1C8DB8AEFFF2CAEA489DC5ADE2F03F4911445184843CC8BA3C098q709E" TargetMode="External"/><Relationship Id="rId33" Type="http://schemas.openxmlformats.org/officeDocument/2006/relationships/hyperlink" Target="https://plus.gosfinans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6B8E93D523DE70C2D3F0196DAA982930EFAF87930284351550CE9BD2BCC9911B9697D8AFE8938F2475CB6B13B2AF0F6E0A5F3261D3902p3F" TargetMode="External"/><Relationship Id="rId20" Type="http://schemas.openxmlformats.org/officeDocument/2006/relationships/hyperlink" Target="consultantplus://offline/ref=723F7DDD80913ABC4575713B8F0AD395C82AB69C3D6F763ADB2FACBF72E507A76927369E3BA0C0939423B242EEAB0BD47E866330A801z8o2H" TargetMode="External"/><Relationship Id="rId29" Type="http://schemas.openxmlformats.org/officeDocument/2006/relationships/hyperlink" Target="https://plus.gosfinans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46DAA86F098A3E240AB12E3023A124055927EEB5C1D2B4D2954F75850C1C8DB8AEFFF2CAEA489DC5ADE2F03F4911445184843CC8BA3C098q709E" TargetMode="External"/><Relationship Id="rId24" Type="http://schemas.openxmlformats.org/officeDocument/2006/relationships/hyperlink" Target="consultantplus://offline/ref=846DAA86F098A3E240AB12E3023A124055927EEB5C1D2B4D2954F75850C1C8DB8AEFFF2CAEA489DC5ADE2F03F4911445184843CC8BA3C098q709E" TargetMode="External"/><Relationship Id="rId32" Type="http://schemas.openxmlformats.org/officeDocument/2006/relationships/hyperlink" Target="https://plus.gosfinansy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B75F62A717BBB8190E16482929FB269EF740530E7BB99D065B002534C1F8A81D61E444DBD32A90F9F25FB5BA9831A7E496292B186876AOAH" TargetMode="External"/><Relationship Id="rId23" Type="http://schemas.openxmlformats.org/officeDocument/2006/relationships/hyperlink" Target="consultantplus://offline/ref=846DAA86F098A3E240AB12E3023A124055927EEB5C1D2B4D2954F75850C1C8DB8AEFFF2CAEA489DC5ADE2F03F4911445184843CC8BA3C098q709E" TargetMode="External"/><Relationship Id="rId28" Type="http://schemas.openxmlformats.org/officeDocument/2006/relationships/hyperlink" Target="https://plus.gosfinansy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D9A629398230AD536E0B94B7FC1DE307D9897DBF6340E342D745D63765E60B9BF6AB532E4231270435565E51F417E5955CE00DD0A8B721F0mE62E" TargetMode="External"/><Relationship Id="rId19" Type="http://schemas.openxmlformats.org/officeDocument/2006/relationships/hyperlink" Target="consultantplus://offline/ref=7F4B4CF405FB750ABE1D4AACD4ED706E03E6FE0AC14B2B3C796C766D90666B9B7B4B43BC33110DEF632171BDBF0AF2B51EBC4324F7c3q1H" TargetMode="External"/><Relationship Id="rId31" Type="http://schemas.openxmlformats.org/officeDocument/2006/relationships/hyperlink" Target="consultantplus://offline/ref=64FA69CC654792899B3DA9E816558C497A2D00E43B360597A476B7D753B6582DB69D2A84CAEFF4C9AF6FE98889DE534809A86F66AB661DTCp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950E480847B76D96C10ADAEA752296F69E42E6BFF44AF30DAAAE84874C86A9AFA522A1E86B9CCF9C34A1D8937CE616A7D885EA43E0e5I6D" TargetMode="External"/><Relationship Id="rId14" Type="http://schemas.openxmlformats.org/officeDocument/2006/relationships/hyperlink" Target="consultantplus://offline/ref=C8BEEA44A9C19FA95722F491889A132C5603D6AC40169659F94199B93F10523618B59DE0D4A5B0FCC5FBD02F19B6F0D3D8FA5B020E4E14EDv1TEF" TargetMode="External"/><Relationship Id="rId22" Type="http://schemas.openxmlformats.org/officeDocument/2006/relationships/hyperlink" Target="consultantplus://offline/ref=846DAA86F098A3E240AB12E3023A124055927EEB5C1D2B4D2954F75850C1C8DB8AEFFF2CAEA489DC5ADE2F03F4911445184843CC8BA3C098q709E" TargetMode="External"/><Relationship Id="rId27" Type="http://schemas.openxmlformats.org/officeDocument/2006/relationships/hyperlink" Target="https://plus.gosfinansy.ru/" TargetMode="External"/><Relationship Id="rId30" Type="http://schemas.openxmlformats.org/officeDocument/2006/relationships/hyperlink" Target="consultantplus://offline/ref=64FA69CC654792899B3DA9E816558C497A2D00E43B360597A476B7D753B6582DB69D2A84CAEFF5C2AF6FE98889DE534809A86F66AB661DTCpDK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16362-644D-4E3C-992D-6ABF96B0B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4740</TotalTime>
  <Pages>34</Pages>
  <Words>12178</Words>
  <Characters>69418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Gilyazieva</dc:creator>
  <cp:lastModifiedBy>gabdrakhimova</cp:lastModifiedBy>
  <cp:revision>155</cp:revision>
  <cp:lastPrinted>2022-07-06T11:07:00Z</cp:lastPrinted>
  <dcterms:created xsi:type="dcterms:W3CDTF">2022-02-15T04:25:00Z</dcterms:created>
  <dcterms:modified xsi:type="dcterms:W3CDTF">2022-07-06T11:42:00Z</dcterms:modified>
</cp:coreProperties>
</file>